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720 14 158 / 303 vom 19. November 2015</w:t>
      </w:r>
    </w:p>
    <w:p>
      <w:r>
        <w:t>BL Gerichte, 2015-11-19, DE</w:t>
      </w:r>
    </w:p>
    <w:p>
      <w:r>
        <w:rPr>
          <w:b/>
        </w:rPr>
        <w:t xml:space="preserve">Quelle: </w:t>
      </w:r>
      <w:r>
        <w:t>https://mcp.opencaselaw.ch/entscheid/bl_gerichte_720_14_158___303</w:t>
      </w:r>
    </w:p>
    <w:p>
      <w:r>
        <w:t>FR: BL_GERICHTE 720 14 158 / 303 du 19 novembre 2015</w:t>
      </w:r>
    </w:p>
    <w:p>
      <w:r>
        <w:t>IT: BL_GERICHTE 720 14 158 / 303 del 19 novembre 2015</w:t>
      </w:r>
    </w:p>
    <w:p>
      <w:pPr>
        <w:pStyle w:val="Heading2"/>
      </w:pPr>
      <w:r>
        <w:t>Regeste</w:t>
      </w:r>
    </w:p>
    <w:p>
      <w:r>
        <w:t>IV-Rente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Gemäss Art. 69 Abs. 1 lit. a des Bundesgesetzes über die Invalidenversicherung (IVG) vom 19. Juni 1959 können Verfügungen der kantonalen IV-Stellen direkt vor dem Versicherungsgericht am Ort der IV-Stelle angefochten werden. Anfechtungsobjekt des vorliegenden Verfahrens bildet eine Verfügung der IV-Stelle Basel-Landschaft, sodass die örtliche Zuständigkeit des Kantonsgerichts Basel-Landschaft zu bejahen ist. Laut § 54 Abs. 1 lit. b des Gesetzes über die Verfassungs- und Verwaltungsprozessordnung (VPO) vom 16. Dezember 1993 beurteilt das Kantonsgericht als Versicherungsgericht als einzige gerichtliche Instanz des Kantons Beschwerden gegen Verfügungen der kantonalen IV-Stelle. Es ist somit auch sachlich zur Behandlung der vorliegenden Beschwerde zuständig. Auf die – im Übrigen frist- und formgerecht erhobene – Beschwerde vom 27. Mai 2014 ist demnach einzutreten.</w:t>
      </w:r>
    </w:p>
    <w:p>
      <w:r>
        <w:rPr>
          <w:b/>
        </w:rPr>
        <w:t>E. 2</w:t>
      </w:r>
    </w:p>
    <w:p>
      <w:r>
        <w:t>Der Beschwerdeführerin werden Verfahrenskosten in der Höhe von Fr. 600.-- auferlegt und mit dem geleisteten Kostenvorschuss von Fr. 600.-- verrechnet.</w:t>
      </w:r>
    </w:p>
    <w:p>
      <w:r>
        <w:rPr>
          <w:b/>
        </w:rPr>
        <w:t>E. 3</w:t>
      </w:r>
    </w:p>
    <w:p>
      <w:r>
        <w:t>Die Kosten für die gerichtliche Begutachtung in der Höhe von Fr. 8‘389.-- werden der Beschwerdegegnerin auferlegt.</w:t>
      </w:r>
    </w:p>
    <w:p>
      <w:r>
        <w:rPr>
          <w:b/>
        </w:rPr>
        <w:t>E. 4</w:t>
      </w:r>
    </w:p>
    <w:p>
      <w:r>
        <w:t>Die Beschwerdegegnerin hat der Beschwerdeführerin eine reduzierte Parteientschädigung in der Höhe von Fr. 5‘794.90 (inklusive Auslagen und 8% Mehrwertsteuer) zu bezahlen. Im Übrigen werden die ausserordentlichen Kosten wettgeschlagen.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