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21 198/47 vom 24. Februar 2022</w:t>
      </w:r>
    </w:p>
    <w:p>
      <w:r>
        <w:t>BL Gerichte, 2022-02-24, DE</w:t>
      </w:r>
    </w:p>
    <w:p>
      <w:r>
        <w:rPr>
          <w:b/>
        </w:rPr>
        <w:t xml:space="preserve">Quelle: </w:t>
      </w:r>
      <w:r>
        <w:t>https://mcp.opencaselaw.ch/entscheid/bl_gerichte_715_21_198_47</w:t>
      </w:r>
    </w:p>
    <w:p>
      <w:r>
        <w:t>FR: BL_GERICHTE 715 21 198/47 du 24 février 2022</w:t>
      </w:r>
    </w:p>
    <w:p>
      <w:r>
        <w:t>IT: BL_GERICHTE 715 21 198/47 del 24 febbraio 2022</w:t>
      </w:r>
    </w:p>
    <w:p>
      <w:pPr>
        <w:pStyle w:val="Heading2"/>
      </w:pPr>
      <w:r>
        <w:t>Regeste</w:t>
      </w:r>
    </w:p>
    <w:p>
      <w:r>
        <w:t>Ablehnung der Anspruchsberechtigung</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des Bundesgesetzes über die obligatorische Arbeitslosenversicherung und die Insolvenzentschädigung (AVIG) vom 25. Juni 1982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21. Juni 2021 ist deshalb einzutreten.</w:t>
      </w:r>
    </w:p>
    <w:p>
      <w:r>
        <w:rPr>
          <w:b/>
        </w:rPr>
        <w:t>E. 2</w:t>
      </w:r>
    </w:p>
    <w:p>
      <w:r>
        <w:t>Im vorliegenden Fall ist zu prüfen, ob die Kasse die Anspruchsberechtigung der Beschwerdeführerin für die Zeit ab 6. April 2021 - dem Datum der Anmeldung zur Arbeitsvermittlung - zu Recht abgelehnt hat. 3.1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Hinweisen). 3.2 Damit eine versicherte Person in arbeitgeberähnlicher Stellung Anspruch auf Arbeitslosenentschädigung hat, muss sie mit dem Ausscheiden aus dem Betrieb definitiv auch die arbeitgeberähnliche Stellung verlieren. Behält sie nach der Auflösung des Arbeitsverhältnisses jedoch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 Barbara Kupfer Bucher , Rechtsprechung des Bundesgerichts zum Sozialversicherungsrecht, Bundesgesetz über die obligatorische Arbeitslosenversicherung und die Insolvenzentschädigung, 5. Auflage, Zürich/Basel/Genf 2019, S. 267 ff. mit Hinweisen zur Rechtsprechung). Das geforderte Ausscheiden aus dem Betrieb muss anhand eindeutiger Kriterien gemessen werden können, welche keinen Zweifel am definitiven Austritt aus der Firma übrig lassen. Die Rechtsprechung hat wiederholt darauf abgestellt, ob der Eintrag der betreffenden Person im Handelsregister gelöscht worden ist. Denn erst mit der Löschung des Eintrags ist das Ausscheiden der arbeitgeberähnlichen Person aus der Firma für aussenstehende Dritte erkennbar (Urteil des Eidgenössischen Versicherungsgerichts [EVG; heute: Bundesgericht, sozialrechtliche Abteilungen] vom 3. April 2006, C 267/04, E. 4.2 mit Hinweisen). 3.3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Betriff des Mitglieds eines obersten, betrieblichen Gremiums. Es ist vielmehr von einem materiellen Organbegriff auszugehen, wonach jeweils im Einzelfall zu prüfen ist, welche Entscheidungsbefugnisse dem Betroffenen aufgrund der betrieblichen Struktur tatsächlich zukommen (BGE 122 V 270 E. 3). Massgebend ist mithin die faktische Einflussmöglichkeit im konkreten Betrieb. Keine Prüfung des Einzelfalles ist erforderlich, wenn sich die massgebliche Entscheidungsbefugnis bereits aus dem Gesetz selbst (zwingend) ergibt. Dies gilt insbesondere für die Gesellschafter einer GmbH (Art. 804 ff. des Schweizerischen Obligationenrechts [OR] vom 30. März 1911)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mit zahlreichen Hinweisen).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(Art. 43 Abs. 1 und Art. 61 lit. c ATSG; BGE 144 V 427 E. 3.2). Massnahmen zur Klärung des rechtserheblichen Sachverhalts müssen vorgenommen oder veranlasst werden, wenn dazu auf Grund der Parteivorbringen oder anderer sich aus den Akten ergebender Anhaltspunkte hinreichender Anlass besteht. Rechtserheblich sind dabei alle Tatsachen, von deren Vorliegen es abhängt, ob über den streitigen Anspruch so oder anders zu entscheiden ist (Urteil des Bundesgerichts vom 26. Oktober 2021, 8C_288/2021, E. 3.2.1 mit Hinweisen). Die Untersuchungspflicht dauert so lange, bis über die für die Beurteilung des streitigen Anspruchs erforderlichen Tatsachen hinreichende Klarheit besteht (Sozialversicherungsrecht - Rechtsprechung [SVR] 2020 MV Nr. 3, E. 3.3.1). 4.2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mit Hinweisen). 4.3 Der Untersuchungsgrundsatz schliesst die Beweislast im Sinne der Beweisführungslast begriffsnotwendig aus, da es nach dem vorstehend Gesagten (vgl. E. 4.1 hiervor)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mit Hinweisen). 5.1 Wie dem Handelsregister des Kantons Basel-Landschaft entnommen werden kann, ist die Beschwerdeführerin seit der Gründung der Gesellschaft im November 2005 als Gesellschafterin ohne Zeichnungsberechtigung der B.____ GmbH im Handelsregister eingetragen und hält Stammanteile von Fr. 1'000.--. Eine Löschung dieses Eintrags ist bis heute nicht erfolgt. Somit kommt der Beschwerdeführerin nach der oben wiedergegebenen Rechtsprechung (vgl. E. 3.3 hiervor) weiterhin eine arbeitgeberähnliche Stellung in dieser Firma zu. 5.2 Bei Gesellschafterinnen und Gesellschaftern einer GmbH (Art. 804 ff. OR) ergibt sich die massgebliche Entscheidungsbefugnis bereits (zwingend) aus dem Gesetz selbst. Wie die Arbeitslosenkasse zutreffend geltend macht, verbleibt daher kein Spielraum, um im Einzelfall differenziert zu prüfen, wie es sich tatsächlich mit der möglichen Einflussnahme auf die Geschicke der Gesellschaft verhält. Auf den entsprechenden Einwand der Beschwerdeführerin, sie habe "überhaupt keinen Einfluss" auf den Geschäftsgang der B.____ GmbH, da sie mittlerweile von ihrem Ehemann getrennt lebe und ein "sehr schwieriges" Verhältnis zu ihm habe, ist daher nicht weiter einzugehen. Nichts zu ihren Gunsten ableiten kann die Beschwerdeführerin sodann aus dem Umstand, dass sie mit Stammanteilen von lediglich Fr. 1'000.-- eindeutig Minderheitsgesellschafterin der B.____ GmbH ist. Im Entscheid 145 V 200 hat das Bundesgericht jüngst nochmals ausdrücklich seine Rechtsprechung bestätigt, wonach der Gesellschafterin oder dem Gesellschafter einer GmbH unabhängig von der Höhe des Stammanteils von Gesetzes wegen eine Einflussmöglichkeit auf die Geschicke der Gesellschaft zusteht, die einen Anspruch auf Arbeitslosenentschädigung ausschliesst (vgl. insbesondere E. 4.5.3 des Entscheids). 5.3. Aus dem Gesagten folgt zusammenfassend, dass die Arbeitslosenkasse die die Anspruchsberechtigung der Versicherten auf Arbeitslosenentschädigung ab dem 6. April 2021 - dem Datum der Anmeldung zur Arbeitsvermittlung - zu Recht abgelehnt hat. Die gegen den betreffenden Einspracheentscheid vom 4. Juni 2021 erhobene Beschwerde erweist sich als unbegründet, weshalb sie abgewiesen werden muss.</w:t>
      </w:r>
    </w:p>
    <w:p>
      <w:r>
        <w:rPr>
          <w:b/>
        </w:rPr>
        <w:t>E. 6</w:t>
      </w:r>
    </w:p>
    <w:p>
      <w:r>
        <w:t>Gemäss § 20 Abs. 2 VPO ist das kantonsgerichtliche Beschwerdeverfahren in Sozialversicherungssachen vorbehältlich des hier nicht interessierenden Abs. 2 bis für die Parteien kostenlos. Es sind deshalb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