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715 2023 81 / 181 vom 10. August 2023</w:t>
      </w:r>
    </w:p>
    <w:p>
      <w:r>
        <w:t>BL Gerichte, 2023-08-10, DE</w:t>
      </w:r>
    </w:p>
    <w:p>
      <w:r>
        <w:rPr>
          <w:b/>
        </w:rPr>
        <w:t xml:space="preserve">Quelle: </w:t>
      </w:r>
      <w:r>
        <w:t>https://mcp.opencaselaw.ch/entscheid/bl_gerichte_715_2023_81___181</w:t>
      </w:r>
    </w:p>
    <w:p>
      <w:r>
        <w:t>FR: BL_GERICHTE 715 2023 81 / 181 du 10 août 2023</w:t>
      </w:r>
    </w:p>
    <w:p>
      <w:r>
        <w:t>IT: BL_GERICHTE 715 2023 81 / 181 del 10 agosto 2023</w:t>
      </w:r>
    </w:p>
    <w:p>
      <w:pPr>
        <w:pStyle w:val="Heading2"/>
      </w:pPr>
      <w:r>
        <w:t>Regeste</w:t>
      </w:r>
    </w:p>
    <w:p>
      <w:r>
        <w:t>Ablehnung der Anspruchsberechtigung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