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17 305 / 53 vom 15. Februar 2018</w:t>
      </w:r>
    </w:p>
    <w:p>
      <w:r>
        <w:t>BL Gerichte, 2018-02-15, DE</w:t>
      </w:r>
    </w:p>
    <w:p>
      <w:r>
        <w:rPr>
          <w:b/>
        </w:rPr>
        <w:t xml:space="preserve">Quelle: </w:t>
      </w:r>
      <w:r>
        <w:t>https://mcp.opencaselaw.ch/entscheid/bl_gerichte_715_17_305___53</w:t>
      </w:r>
    </w:p>
    <w:p>
      <w:r>
        <w:t>FR: BL_GERICHTE 715 17 305 / 53 du 15 février 2018</w:t>
      </w:r>
    </w:p>
    <w:p>
      <w:r>
        <w:t>IT: BL_GERICHTE 715 17 305 / 53 del 15 febbraio 2018</w:t>
      </w:r>
    </w:p>
    <w:p>
      <w:pPr>
        <w:pStyle w:val="Heading2"/>
      </w:pPr>
      <w:r>
        <w:t>Regeste</w:t>
      </w:r>
    </w:p>
    <w:p>
      <w:r>
        <w:t>Insolvenzentschädigung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d der Verordnung über die obligatorische Arbeitslosenversicherung und die Insolvenzentschädigung (AVIV) vom 31. August 1983 richtet sich die örtliche Zuständigkeit des kantonalen Versicherungsgerichts für die Beurteilung von Beschwerden gegen Einspracheentscheide der Arbeitslosenkassen, welche die Insolvenzentschädigung betreffen, nach dem Ort des zuständigen Betreibungs- und Konkursamtes. Vorliegend war für das Konkursverfahren über die Firma B.____ AG ein Konkursamt im Kanton Basel-Landschaft zuständig,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15. September 2017 ist deshalb einzutreten. 2.1 Gemäss Art. 51 Abs. 1 lit. a AVIG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Die Insolvenzentschädigung deckt nach Art. 52 Abs. 1 AVIG Lohnforderungen für die letzten vier Monate des Arbeitsverhältnisses, für jeden Monat jedoch nur bis zum Höchstbetrag nach Art. 3 Abs. 1 AVIG. Der gesetzliche Zweck der Insolvenzentschädigung besteht im Schutz der Lohnguthaben der Arbeitnehmenden und soll diese im Konkursfall des Arbeitgebers den Lebensunterhalt garantieren. Damit soll vermieden werden, dass der betroffene Arbeitnehmer bzw. die betroffene Arbeitnehmerin durch den Verlust der Lohnforderung in der Existenz bedroht wird (vgl. Botschaft zum Bundesgesetz über die obligatorische Arbeitslosenversicherung und die Insolvenzentschädigung vom 2. Juli 1980; BBl 1980 III 534 f. und 606; BGE 114 V 58 E. 3c und Urteil des Eidgenössischen Versicherungsgerichts [EVG; seit 1. Januar 2007: Bundesgericht, sozialrechtliche Abteilungen] vom 20. April 2001, C 321/99, E. 3b). Dies vor dem Hintergrund, dass der Arbeitnehmer bzw. die Arbeitnehmerin grundsätzlich vorleistungspflichtig ist und das Entgelt für seine Arbeit erst am Ende des Monats erhält (vgl. Art. 323 Abs. 1 des Bundesgesetzes betreffend die Ergänzung des Schweizerischen Zivilgesetzbuches [OR] vom 30. März 1911). 2.2.1 Gemäss Art. 51 Abs. 2 AVIG haben Personen keinen Anspruch auf Insolvenzentschädigung, die in ihrer Eigenschaft als Gesellschafter oder Gesellschafterin, als finanziell am Betrieb Beteiligte oder als Mitglieder eines obersten betrieblichen Entscheidungsgremiums die Entscheidungen des Arbeitgebers bestimmen oder massgeblich beeinflussen können, sowie ihre mitarbeitenden Ehegatten. 2.2.2 Die zu Art. 31 Abs. 3 lit. c AVIG ergangene Rechtsprechung bezüglich derjenigen Personen, welche als Mitglieder eines obersten betrieblichen Entscheidungsgremiums oder Ehegatten eines solchen Mitglieds vom Kurzarbeitsentschädigungsanspruch ausgeschlossen sind (BGE 126 V 134; vgl. auch BGE 123 V 234 E. 7a S. 236 f., 122 V 270 E. 3 S. 272 f.), ist im Rahmen von Art. 51 Abs. 2 AVIG gleichermassen anwendbar (ARV 2009 S. 177, 8C_84/2008 E. 1). Danach ist in aller Regel die Frage, ob eine arbeitnehmende Person einem obersten betrieblichen Entscheidungsgremium angehört und ob sie in dieser Eigenschaft massgeblich Einfluss auf die Unternehmensentscheidungen nehmen kann, aufgrund der internen betrieblichen Struktur zu beantworten (BGE 122 V 270 E. 3 S. 272; ARV 2004 S. 196, C 113/03 E. 3.2, 1996/97 Nr. 41 S. 224, C 42/97 E. 1b). Keine Prüfung des Einzelfalles ist erforderlich, wenn sich die massgebliche Entscheidungsbefugnis bereits aus dem Gesetz selbst (zwingend) ergibt. In diesem Sinne hat das Bundesgericht den mitarbeitenden Verwaltungsrat einer AG, für welchen das Gesetz in der Eigenschaft als Verwaltungsrat in Art. 716 - 716b OR verschiedene, nicht übertrag- und entziehbare, die Entscheidungen des Arbeitgebers bestimmende oder massgeblich beeinflussende Aufgaben vorschreibt, vom Leistungsanspruch generell ausgeschlossen (vgl. Urteil des Bundesgerichts vom 10. Januar 2018, 8C_412/2017, E. 3.2 mit Hinweisen).</w:t>
      </w:r>
    </w:p>
    <w:p>
      <w:r>
        <w:rPr>
          <w:b/>
        </w:rPr>
        <w:t>E. 3</w:t>
      </w:r>
    </w:p>
    <w:p>
      <w:r>
        <w:t>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221 f. E. 6 mit Hinweisen). Der Untersuchungsgrundsatz schliesst die Beweislast im Sinne der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mit Hinweisen). 4.1 Strittig und zu prüfen ist im vorliegenden Verfahren der Anspruch der Beschwerdeführerin auf Insolvenzentschädigung. Der rechtserhebliche Sachverhalt stellt sich wie folgt dar: 4.2 Den vorliegenden Unterlagen ist zu entnehmen, dass die Beschwerdeführerin seit dem 1. Januar 2007 Geschäftsführerin der Firma B.____ AG mit Kollektivunterschrift zu zweien war. Seit der Sitzverlegung der Firma von X.____ nach Y.____ am 27. November 2013 (vgl. act. 21) war sie Präsidentin des Verwaltungsrates und Geschäftsführerin mit Einzelunterschrift (vgl. act. 34). Ab 26. August 2014 und bis zum Konkurs der Firma B.____ AG am 28. März 2017 amtete die Beschwerdeführerin als Mitglied des Verwaltungsrates und Geschäftsführerin mit Einzelunterschrift (vgl. act. 21). 4.3 Aufgrund dieser Angaben steht fest, dass die Beschwerdeführerin im Zeitpunkt des Konkurses der Firma B.____ AG Verwaltungsratsmitglied war und somit dem obersten betrieblichen Entscheidungsgremium der Firma angehörte. Zudem übte sie die Funktion der Geschäftsführerin mit Einzelunterschrift aus und konnte auch in dieser Eigenschaft massgeblich Einfluss auf die Unternehmensentscheidungen nehmen. Da sich ihre Entscheidungsbefugnisse zudem gestützt auf Art. Art. 716 - 716b OR bereits aus dem Gesetz selbst (zwingend) ergeben, erfüllt sie die Voraussetzungen von Art. 51 Abs. 2 AVIG und ist vom Leistungsanspruch generell ausgeschlossen (vgl. Urteil des Bundesgerichts vom 10. Januar 2018, 8C_412/2017, E. 3.2 mit Hinweisen). 4.4.1 Die Beschwerdeführerin wendet dagegen ein, dass auch Personen mit arbeitgeberähnlichen Stellungen in einer Firma Anspruch auf Involvenzentschädigung hätten, wenn sie das Unternehmen verlassen würden. Sie sei durch den Konkurs sowohl als Arbeitnehmerin als auch als Verwaltungsrätin aus der Firma ausgeschieden und habe daher keine arbeitgeberähnliche Position mehr inne. Die Beschwerdeführerin verkennt bei dieser Argumentation, dass die Frage, ob ein Anspruch auf Insolvenzentschädigung besteht, dahingehend zu prüfen ist, ob die Möglichkeit zur massgeblichen Einflussnahme während des Leistungszeitraums bestand ( Thomas Nussbaumer , Arbeitslosenversicherung, in: Schweizerisches Bundesverwaltungsrecht [SBVR], Soziale Sicherheit, 3. Aufl. 2016, S. 2445 Rz. 594 mit Hinweisen sowie S. 2405 Rz. 465). Im vorliegenden Fall ersuchte die Beschwerdeführerin in ihrem Antrag auf Insolvenzentschädigung vom 25. April 2017 um Bezahlung von Löhnen aus dem Jahr 2016 und einen Ferienanteil für die Monate Januar bis März 2017. In diesen Zeitabschnitten war sie unbestrittenermassen Mitglied des Verwaltungsrates und Geschäftsführerin mit Einzelunterschrift der Firma B.____ AG und damit von einem Leistungsanspruch ausgeschlossen (vgl. Art. 51 Abs. 1 lit. a AVIG). Daran ändert auch nichts, dass sie gemäss Angaben im Schweizerischen Handelsamtsblatt vom 13. Juni 2017 per 8. Juni 2017 aus dem Verwaltungsrat und als Geschäftsführerin mit Einzelunterschrift ausgeschieden ist, lag dieser Zeitpunkt doch nach der Konkurseröffnung. 4.4.2 Auch die weiteren Ausführungen der Beschwerdeführerin, wonach der Konkurs der Firma B.____ AG überraschend gekommen sei und sie in den letzten Jahren immer wieder finanzielle Mittel in die Firma investiert habe, lässt keine andere Beurteilung zu. Die Beschwerdeführerin gehörte aufgrund ihrer Funktionen dem obersten betrieblichen Entscheidungsgremium der Firma B.____ AG an. Sie hatte daher im Gegensatz zu gewöhnlichen Arbeitnehmern und Arbeitsnehmerinnen Einfluss auf den Geschäftsgang und Einblick in die Firmenbücher. Unter diesen Umständen kann sie nicht ernsthaft behaupten, sie sei vom Konkurs der Firma überrascht worden. 4.4.3 Soweit die Beschwerdeführerin moniert, der Lohnfluss und damit die Beitragszeit für die Beurteilung ihres Anspruchs auf Arbeitslosentaggelder seien nachgewiesen, ist mit der Beschwerdegegnerin festzuhalten, dass im vorliegenden Verfahren einzig die Frage, ob sie Anspruch auf eine Insolvenzentschädigung im Sinne von Art. 51 ff. AVIG hat, zu beurteilen ist und nicht ihr Anspruch auf Arbeitslosentaggelder.</w:t>
      </w:r>
    </w:p>
    <w:p>
      <w:r>
        <w:rPr>
          <w:b/>
        </w:rPr>
        <w:t>E. 5</w:t>
      </w:r>
    </w:p>
    <w:p>
      <w:r>
        <w:t>Nach dem Gesagten ist zusammenfassend festzuhalten, dass die Ablehnung des Anspruchs auf Insolvenzentschädigung durch die Beschwerdegegnerin nicht zu beanstanden ist, weshalb die Beschwerde abzuweisen ist.</w:t>
      </w:r>
    </w:p>
    <w:p>
      <w:r>
        <w:rPr>
          <w:b/>
        </w:rPr>
        <w:t>E. 6</w:t>
      </w:r>
    </w:p>
    <w:p>
      <w:r>
        <w:t>Gemäss Art. 61 lit. a ATSG sind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 Gegen das vorliegende Urteil wurde von der Beschwerdeführerin am 2. Juli 2018 Beschwerde beim Bundesgericht (siehe nach Vorliegen des Urteils: Verfahren Nr. 8C_478/2018)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