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715 17 13/124 vom 12. Mai 2017</w:t>
      </w:r>
    </w:p>
    <w:p>
      <w:r>
        <w:t>BL Gerichte, 2017-05-12, DE</w:t>
      </w:r>
    </w:p>
    <w:p>
      <w:r>
        <w:rPr>
          <w:b/>
        </w:rPr>
        <w:t xml:space="preserve">Quelle: </w:t>
      </w:r>
      <w:r>
        <w:t>https://mcp.opencaselaw.ch/entscheid/bl_gerichte_715_17_13_124</w:t>
      </w:r>
    </w:p>
    <w:p>
      <w:r>
        <w:t>FR: BL_GERICHTE 715 17 13/124 du 12 mai 2017</w:t>
      </w:r>
    </w:p>
    <w:p>
      <w:r>
        <w:t>IT: BL_GERICHTE 715 17 13/124 del 12 maggio 2017</w:t>
      </w:r>
    </w:p>
    <w:p>
      <w:pPr>
        <w:pStyle w:val="Heading2"/>
      </w:pPr>
      <w:r>
        <w:t>Regeste</w:t>
      </w:r>
    </w:p>
    <w:p>
      <w:r>
        <w:t>Einstellung in der Anspruchsberechtigung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