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16 194/325 vom 2. Dezember 2016</w:t>
      </w:r>
    </w:p>
    <w:p>
      <w:r>
        <w:t>BL Gerichte, 2016-12-02, DE</w:t>
      </w:r>
    </w:p>
    <w:p>
      <w:r>
        <w:rPr>
          <w:b/>
        </w:rPr>
        <w:t xml:space="preserve">Quelle: </w:t>
      </w:r>
      <w:r>
        <w:t>https://mcp.opencaselaw.ch/entscheid/bl_gerichte_710_16_194_325</w:t>
      </w:r>
    </w:p>
    <w:p>
      <w:r>
        <w:t>FR: BL_GERICHTE 710 16 194/325 du 2 décembre 2016</w:t>
      </w:r>
    </w:p>
    <w:p>
      <w:r>
        <w:t>IT: BL_GERICHTE 710 16 194/325 del 2 dicembre 2016</w:t>
      </w:r>
    </w:p>
    <w:p>
      <w:pPr>
        <w:pStyle w:val="Heading2"/>
      </w:pPr>
      <w:r>
        <w:t>Regeste</w:t>
      </w:r>
    </w:p>
    <w:p>
      <w:r>
        <w:t>Alters- und Hinterlassenenversicherung Verzugszinsen: Objekt der Verzinsung bildet die fällige Beitragsschuld</w:t>
      </w:r>
    </w:p>
    <w:p>
      <w:pPr>
        <w:pStyle w:val="Heading2"/>
      </w:pPr>
      <w:r>
        <w:t>Erwägungen</w:t>
      </w:r>
    </w:p>
    <w:p>
      <w:r>
        <w:rPr>
          <w:b/>
        </w:rPr>
        <w:t>E. 1</w:t>
      </w:r>
    </w:p>
    <w:p>
      <w:r>
        <w:t>In Gutheissung der Beschwerde wird der angefochtene Einspracheentscheid der Ausgleichskasse vom 1. Juni 2016 aufgehoben und es wird festgestellt, dass die Beschwerdeführerin der Ausgleichskasse für die mit der Nachtragsabrechnung vom 17. Februar 2016 geltend gemachten Beiträge keinen Verzugszins zu leisten hat.</w:t>
      </w:r>
    </w:p>
    <w:p>
      <w:r>
        <w:rPr>
          <w:b/>
        </w:rPr>
        <w:t>E. 2</w:t>
      </w:r>
    </w:p>
    <w:p>
      <w:r>
        <w:t>Es werden keine Verfahrenskosten erhoben.</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