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2021 52 vom 9. März 2023</w:t>
      </w:r>
    </w:p>
    <w:p>
      <w:r>
        <w:t>BL Gerichte, 2023-03-09, DE</w:t>
      </w:r>
    </w:p>
    <w:p>
      <w:r>
        <w:rPr>
          <w:b/>
        </w:rPr>
        <w:t xml:space="preserve">Quelle: </w:t>
      </w:r>
      <w:r>
        <w:t>https://mcp.opencaselaw.ch/entscheid/bl_gerichte_650_2021_52</w:t>
      </w:r>
    </w:p>
    <w:p>
      <w:r>
        <w:t>FR: BL_GERICHTE 650 2021 52 du 9 mars 2023</w:t>
      </w:r>
    </w:p>
    <w:p>
      <w:r>
        <w:t>IT: BL_GERICHTE 650 2021 52 del 9 marzo 2023</w:t>
      </w:r>
    </w:p>
    <w:p>
      <w:pPr>
        <w:pStyle w:val="Heading2"/>
      </w:pPr>
      <w:r>
        <w:t>Regeste</w:t>
      </w:r>
    </w:p>
    <w:p>
      <w:r>
        <w:t>Wasser- und Kanalisationsanschlussgebühr</w:t>
      </w:r>
    </w:p>
    <w:p>
      <w:pPr>
        <w:pStyle w:val="Heading2"/>
      </w:pPr>
      <w:r>
        <w:t>Erwägungen</w:t>
      </w:r>
    </w:p>
    <w:p>
      <w:r>
        <w:rPr>
          <w:b/>
        </w:rPr>
        <w:t>E. 5</w:t>
      </w:r>
    </w:p>
    <w:p>
      <w:r>
        <w:t>Konkret führt die Beschwerdegegnerin folgende Entscheide für ihren Standpunkt an: BGE 121 I 230 E. 3e 235 f.; Urteil des BGer 2P.45/2005 vom 30. Juni 2005 E. 3.2, 2C_1061/2015 vom 9. Januar 2017 E. 2, 2C_992/2020 vom 23. September 2021 E. 3.2; Urteil des EntGer vom 28. November 2002 [2002/35-36] E. 6b. 2.5 Gemeindeautonomie Die Bundesverfassung gewährleistet die Gemeindeautonomie nach Massgabe des kantonalen Rechts (Art. 50 Abs. 1 BV). Nach der höchstrichterlichen Rechtsprechung sind Gemeinden in einem Sachbereich autonom, wenn das kantonale Recht diesen nicht abschliessend regelt, sondern ihn ganz oder teilweise der Gemeinde zur Regelung überlässt und ihr dabei eine relativ erhebliche Entscheidungsfreiheit einräumt (BGE 138 I 242 E. 5.2 m.w.H.). Der geschützte Autonomiebereich kann in der Befugnis zum Erlass oder Vollzug eigener kommunaler Vorschriften oder in einem entsprechenden Spielraum bei der Anwendung von kantonalem oder eidgenössischem Recht bestehen (KGE VV vom 25. August 2021 [810 20 281] E. 4.1). Im Einzelnen ergibt sich der Umfang der kommunalen Autonomie aus dem für den entsprechenden Bereich anwendbaren kantonalen Verfassungs- und Gesetzesrecht (statt vieler BGE 144 I 193 E. 7.4.1 und 141 I 36 E. 5.3). Die Kantonsverfassung erklärt basellandschaftliche Gemeinden im Rahmen von Verfassung und Gesetz mitunter für befugt, ihre eigenen Aufgaben nach freiem Ermessen, d.h. grundsätzlich autonom, zu erfüllen (§ 45 Abs. 1 KV; Urteil des BGer 2C_140/2021 vom 17. November 2022 E. 3.1). In Bezug auf die hier strittigen Abgabeerhebungen sind Gemeinden (hier die Beschwerdegegnerin) – wie bereits unter E. 2.2 erwähnt – befugt, einerseits von den Grundeigentümern, deren Grundstück ein öffentliches Erschliessungswerk benutzt, Anschlussgebühren zu erheben, und andererseits Erschliessungsreglemente zu erlassen, in denen sie neben anderen Belangen die Finanzierung von Erschliessungsanlagen regeln (§ 36 RBG). Nach ständiger Rechtsprechung des Enteignungsgerichts fällt die Festlegung der Bemessungsgrundlagen6  für kommunale Erschliessungsabgaben sowie die Wahl einer bestimmten Bemessungsmethode7  deshalb in den vom kantonalen Verfassungs- und Gesetzesrecht umschriebenen und als Gemeindeautonomie von Bundesrechts wegen garantierten Autonomiebereich (vgl. Urteile des EntGer vom 15. Juni 2017 [650 14 117] E. 2.4, vom 9. Juli 2020 [650 20 1] E. 2.2.2 und vom 12. Mai 2022 [650 21 10] E. 2.2 [betr. Stadt Liestal]).</w:t>
      </w:r>
    </w:p>
    <w:p>
      <w:r>
        <w:rPr>
          <w:b/>
        </w:rPr>
        <w:t>E. 6</w:t>
      </w:r>
    </w:p>
    <w:p>
      <w:r>
        <w:t>Hier also der SVGW-Werte und der Bruttogeschossfläche.</w:t>
      </w:r>
    </w:p>
    <w:p>
      <w:r>
        <w:rPr>
          <w:b/>
        </w:rPr>
        <w:t>E. 7</w:t>
      </w:r>
    </w:p>
    <w:p>
      <w:r>
        <w:t>Hier demnach die Wahl eines dualen Finanzierungssystems (d.h. eines Systems, das für die Abgabebemessung auf eine Kombination zweier Bemessungskriterien abstellt) sowie die Festsetzung der Abgabesätze und die Kategorisierung von Gruppen abgabepflichtiger Personen (d.h. Eigentümerinnen von Wohngebäuden, Industrie- und Gewerbegebäuden etc.). Die Beschwerdegegnerin meint in Bezug auf die hier strittige Angelegenheit, dem in ihren Autonomiebereich fallenden Wasser- und dem Abwasserreglement sei «uneingeschränkt» Nachachtung zu verschaffen. Im nunmehr eingetreten Fall, dass eine Verletzung des Äquivalenzprinzips bejaht wird, sieht die Beschwerdegegnerin ihre Reglemente als (zu Unrecht) «ausgehebelt» an (zum Ganzen Duplik, Rz. 2). Wie bereits in E. 2.2 erwähnt, ist die gesetzgeberische Freiheit der Beschwerdegegnerin keine grenzenlose , sondern beschränkt: Auch im Bereich ihrer verfassungsrechtlich gewährleisteten Autonomie hat sie übergeordnetes Recht zu beachten, wobei in Bezug auf die Hierarchie der Normen gilt, dass das Bundesrecht (Art. 49 Abs. 1 BV) allem widersprechenden kantonalen Recht vorgeht und alles kantonales Recht dem kommunalen Recht vorgeht (Urteil des BGer 2C_140/2021 vom 17. November 2022 E. 3.3 m.w.H.). Bereits unter E. 2.4.1 ist dargelegt worden, dass das Äquivalenzprinzip als Konkretisierung des Verhältnismässigkeitsprinzips nach Art. 5 Abs. 3 BV einerseits und des Willkürverbots gemäss Art. 9 BV andererseits Verfassungsrang hat (vgl. Urteil des BGer 2C_1054/2013 vom 20. September 2014 E. 6.1, in: ZBl 116/2015, S. 483 ff.). Als Verfassungsprinzip geht das Äquivalenzprinzip folglich sowohl kantonalem als auch kommunalem Recht vor und begrenzt die Freiheit der B. auch in ihrem Autonomiebereich. Die Anrufung der Gemeindeautonomie vermag an der Erkenntnis, dass die angefochtene Wasseranschlussgebühr das Äquivalenzprinzip verletzt, demzufolge nichts zu ändern. 2.6 Bedeutung einer Genehmigung der Reglemente durch den Regierungsrat Die Autonomie von Einwohnergemeinden ist erstens – wie bereits unter E. 2.2 und E. 2.5 erwähnt – keine unbeschränkte und zweitens auch keine unüberwachte, wie § 45 Abs. 3 KV und § 3 Abs. 1 GemG, wonach der Regierungsrat die Aufsicht über die Gemeinden ausübt, für den Kanton Basel-Landschaft klar zum Ausdruck bringen (vgl. KGE VV vom 25. August 2021 [810 20 281] E. 4.1). Deutlich wird dies mitunter daran, dass – abgesehen von zwei hier nicht einschlägigen Ausnahmen – Gemeindereglemente dem Regierungsrat zur Genehmigung vorzulegen sind (vgl. § 168 Abs. 1 lit. b GemG). Was die Rechtskontrolle von kommunalen Reglementen durch den Regierungsrat bzw. eine von ihm dazu beauftragte untergeordnete Behörde anbelangt, so handelt es sich stets um eine summarische und in dem Sinne provisorische Kontrolle, als sie einer nochmaligen Überprüfung durch eine Rechtsmittelinstanz in einem abstrakten oder konkreten Normenkontrollverfahren nicht entgegensteht (BGE 116 V 101 E. 2a 102; KGE VV vom 25. August 2021 [810 20 281] E. 4.3 m.w.H.). Genehmigungsvorbehalte wie der vorliegende bezwecken, mittels hoheitlicher Kontrolle die Widerspruchslosigkeit verschiedener Rechtsordnungen zueinander sicherzustellen, um so Rechtssicherheit zu gewährleisten. Die Kontrollinstanz, d.h. hier der Kanton Basel-Landschaft, nimmt im Rahmen der Genehmigung eines kommunalen Reglements hauptsächlich ihre Aufsichtspflicht über die Gemeinden und damit die Interessen des Kantons bzw. des Gesamtstaates wahr (vgl. Wartmann , Die Genehmigung kommunaler Erlasse durch kantonale Behörden nach aargauischem Recht, Diss. Zürich 1974, S. 43). Die Bedeutung der hier infrage stehenden Genehmigung des Wasser- und des Abwasserreglements der B. durch den Regierungsrat bzw. die Bau- und Umweltschutzdirektion des Kantons Basel-Landschaft ist auf diesen aufsichtsrechtlichen Kontext beschränkt. Die Genehmigung entfaltet demnach keine Bindungswirkung gegenüber der mit einer konkreten Normenkontrolle befassten Rechtsmittelinstanz. Die Genehmigung kommunaler Reglementsbestimmungen durch die zuständige Aufsichtsinstanz schliesst nicht aus, dass ein Gericht im Streitfall eine kommunale Norm als kantons- und/oder bundesrechtswidrig erklärt (BGE 116 V 101 E. 2a 102). Entgegen dem Standpunkt der Beschwerdegegnerin, kann sie aus dem Umstand, dass die beiden hier einschlägigen kommunalen Reglemente von der kantonalen Aufsichtsinstanz genehmigt worden sind, nichts zu ihren Gunsten ableiten. Im Besonderen steht die Genehmigung des Wasserreglements der Erkenntnis, dass die angefochtene Wasseranschlussgebühr das Äquivalenzprinzip verletzt, nicht entgegen. 2.7 ‌Unzulässigkeit einer vorschussweisen Anschlussgebührenerhebung Zwar hat die Beschwerdeführerin die vorschussweise Geltendmachung von Anschlussgebühren durch die Beschwerdegegnerin nicht bestritten. Gleichwohl ist der Vollständigkeit halber und von Amtes wegen darauf hinzuweisen, dass die Erhebung von Anschlussgebühren vor dem Anschluss einer Baute an die öffentlichen Versorgungs- bzw. Entsorgungsleitungen aufgrund der Fälligkeitsbestimmung in § 92 Abs. 1 lit. b EntG unzulässig ist (vgl. dazu das die B. betreffende Urteil des EntGer vom 12. Mai 2022 [650 21 10] E. 2.2). 3. Kosten 3.1 Verfahrenskosten Nach § 20 Abs. 3 VPO sind die Kosten eines Verfahrens in der Regel der unterliegenden Partei aufzuerlegen. Der gerichtsübliche Tarif für die Durchführung einer Vorverhandlung, eines Augenscheins und einer Hauptverhandlung beträgt CHF 3'000.00 (vgl. zum Gebührenrahmen § 17 Abs. 1 lit. c der Verordnung über die Gebühren der Gerichte [Gebührentarif, GebT] vom 15. November 2010 [SGS 170.31]). Vorliegend hat keine Partei vollständig obsiegt noch ist eine Partei vollumfänglich unterlegen. Entsprechend sind die Verfahrenskosten den Parteien im Umfang ihres Unterliegens aufzuerlegen. Die Beschwerdeführerin, deren Beschwerde gegen die Wasseranschlussgebühr gutzuheissen ist, hat im Umfang von (gerundet) 60% obsiegt, ist jedoch mit ihrer Beschwerde gegen die Kanalisationsanschlussgebühr gleichzeitig zu 40% unterlegen. Die Verfahrenskosten in der Höhe von CHF 3'000.00 sind deshalb der Beschwerdeführerin im Umfang von CHF 1'200.00 und der Beschwerdegegnerin im Umfang von CHF 1'800.00 aufzuerlegen. 3.2 Parteientschädigung Der ganz oder teilweise obsiegenden Partei kann für den Beizug eines Anwalts oder einer Anwältin eine angemessene Parteientschädigung zulasten der Gegenpartei zugesprochen werden (§ 21 Abs. 1 VPO). Gemeinden haben allerdings nur dann einen Anspruch auf die Zusprechung einer Parteientschädigung, wenn der Beizug eines Anwalts «gerechtfertigt» war (§ 21 Abs. 2 Satz 2 VPO). Auch mit Blick auf die Parteientschädigung ist den bloss teilweise obsiegenden Parteien eine dem Umfang ihres Obsiegens entsprechende Parteientschädigung zuzusprechen. Die Beschwerdeführerin hat die Zusprechung einer Parteientschädigung beantragt. Ihr Vertreter hat weder in der Honorarnote vom 29. November 2022 noch im Kontoblatt und seinen Schriften einen Mehrwertsteuerzuschlag beantragt. Deshalb ist ein solcher auch nicht zuzusprechen (vgl. § 18 Abs. 1 Satz 1 VPO). Der Vertreter der Beschwerdeführerin reichte heute ein detailliertes Kontoblatt ein, welches Kosten für Telefonate in der Höhe von CHF 82.60, 430 Fotokopien sowie einen Arbeitsaufwand von 45 Stunden und 40 Minuten auswies. In Bezug auf den ausgewiesenen Gesamtaufwand entfielen 6 Stunden und 15 Minuten auf die Vor- und Nachbereitung sowie Teilnahme an der heutigen Hauptverhandlung. Vor dem Hintergrund, dass die Hauptverhandlung um 13.30 Uhr begonnen und 1 Stunde und 22 Minuten später, nämlich um 14.52 Uhr, geendet hat (HV-Protokoll S. 2 und S. 14), ist der geltend gemachte Gesamtaufwand um eine Stunde auf 44 Stunden und 40 Minuten zu kürzen. Wie der im Vorfeld des Augenscheins vom 1. Dezember 2022 eingereichten Honorarnote vom 29. November 2022 zu entnehmen ist, beantragt der Vertreter der Beschwerdeführerin eine Entschädigung in der Höhe von CHF 250.00 pro Stunde und von CHF 0.50 pro Fotokopie.8  Gemäss der Tarifordnung für die Anwältinnen und Anwälte vom 17. November 2003 (AnwT, SGS 187.112) beträgt das Honorar im Falle einer Berechnung der Entschädigung nach Zeitaufwand CHF 200-350.00 pro Stunde (§ 3 Abs. 1 AnwT). Für das Verfahren vor dem Enteignungsgericht beträgt der Stundenansatz für die Festsetzung einer Parteientschädigung praxisgemäss CHF 250.00. Die Parteientschädigung ist folglich auf der Basis eines Totals von CHF 11'464.27 festzulegen, das sich folgendermassen zusammensetzt: Honorar des Rechtsvertreters der Beschwerdeführerin Arbeitsaufwand 44 Stunden und 40 Minuten zu CHF 250.00/h CHF 11'166.66 Fotokopien 430 Stück zu CHF 0.50/Stk. CHF 215.00 Telefonspesen CHF 82.60 Total CHF 11'464.27 Analog dem unter E. 3.1 zu den Verfahrenskosten Ausgeführten hat die Beschwerdeführerin vorliegend Anspruch auf Zusprechung einer auf den Umfang ihres Obsiegens (d.h. 60%) reduzierten Parteientschädigung in der Höhe von CHF 6'878.56 (exkl. MWST). Die Beschwerdegegnerin hat der Beschwerdeführerin somit eine Parteientschädigung von CHF 6'878.56 (exkl. MWST) zu bezahlen. Die B. hat vorliegend die Zusprechung einer Parteientschädigung beantragt, obgleich sie nicht anwaltlich vertreten ist. Mangels Beizugs eines Anwalts oder einer Anwältin fehlt es an einer tatbestandlichen Voraussetzung, welche einen Entschädigungsanspruch der Beschwerdegegnerin erst begründen könnte (vgl. § 21 Abs. 2 Satz 2 VPO). Die ausserordentlichen Kosten der Beschwerdegegnerin sind demnach wettzuschlagen.</w:t>
      </w:r>
    </w:p>
    <w:p>
      <w:r>
        <w:rPr>
          <w:b/>
        </w:rPr>
        <w:t>E. 8</w:t>
      </w:r>
    </w:p>
    <w:p>
      <w:r>
        <w:t>Aus dem Kontoblatt erhellt, dass per 29. November 2022 430 Fotokopien angefertigt wurden und seither keine mehr dazugekommen sind. Dafür hat der Vertreter der Beschwerdeführerin in der Honorarnote Spesen in der Höhe von CHF 215.00 geltend gemacht (d.h. CHF 0.50 pro Stück).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