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18 17 vom 1. Oktober 2018</w:t>
      </w:r>
    </w:p>
    <w:p>
      <w:r>
        <w:t>BL Gerichte, 2018-10-01, DE</w:t>
      </w:r>
    </w:p>
    <w:p>
      <w:r>
        <w:rPr>
          <w:b/>
        </w:rPr>
        <w:t xml:space="preserve">Quelle: </w:t>
      </w:r>
      <w:r>
        <w:t>https://mcp.opencaselaw.ch/entscheid/bl_gerichte_650_18_17</w:t>
      </w:r>
    </w:p>
    <w:p>
      <w:r>
        <w:t>FR: BL_GERICHTE 650 18 17 du 1 octobre 2018</w:t>
      </w:r>
    </w:p>
    <w:p>
      <w:r>
        <w:t>IT: BL_GERICHTE 650 18 17 del 1 ottobre 2018</w:t>
      </w:r>
    </w:p>
    <w:p>
      <w:pPr>
        <w:pStyle w:val="Heading2"/>
      </w:pPr>
      <w:r>
        <w:t>Regeste</w:t>
      </w:r>
    </w:p>
    <w:p>
      <w:r>
        <w:t>Wassergebühr</w:t>
      </w:r>
    </w:p>
    <w:p>
      <w:pPr>
        <w:pStyle w:val="Heading2"/>
      </w:pPr>
      <w:r>
        <w:t>Erwägungen</w:t>
      </w:r>
    </w:p>
    <w:p>
      <w:r>
        <w:rPr>
          <w:b/>
        </w:rPr>
        <w:t>E. 3</w:t>
      </w:r>
    </w:p>
    <w:p>
      <w:r>
        <w:t>Kosten</w:t>
      </w:r>
    </w:p>
    <w:p>
      <w:r>
        <w:rPr>
          <w:b/>
        </w:rPr>
        <w:t>E. 3.1</w:t>
      </w:r>
    </w:p>
    <w:p>
      <w:r>
        <w:t>Verfahrenskosten Wie bereits betreffend die funktionelle Zuständigkeit erläutert, liegt die Spruchkompetenz aufgrund der Streitwerthöhe beim Präsidenten (vgl. § 98a Abs. 1 EntG). Der gerichtsübliche Tarifrahmen für Entscheide des Präsidiums beträgt Fr. 100.00 bis 500.00 (vgl. § 17 Abs. 1 lit. a der Verordnung über die Gebühren der Gerichte [Gebührentarif, GebT, SGS 170.31]). Praxisgemäss beträgt der Tarif für einen Standardfall – wie den vorliegenden –Fr. 300.00. Nach § 20 Abs. 3 VPO sind die ordentlichen Kosten in der Regel der unterliegenden Partei aufzuerlegen. Der Beschwerdeführer unterliegt vollumfänglich. Folglich hat er die gesamten Verfahrenskosten zu tragen.</w:t>
      </w:r>
    </w:p>
    <w:p>
      <w:r>
        <w:rPr>
          <w:b/>
        </w:rPr>
        <w:t>E. 3.2</w:t>
      </w:r>
    </w:p>
    <w:p>
      <w:r>
        <w:t>Parteientschädigung Gemäss § 21 Abs. 1 VPO kann der ganz oder teilweise obsiegenden Partei für den Bei-zug eines Anwalts bzw. einer Anwältin eine angemessene Parteientschädigung zulasten der Gegenpartei zugesprochen werden. Vorliegend sind die Parteien nicht anwaltlich vertreten, womit keine Parteientschädigung zuzusprechen ist. Die ausserordentlichen Kosten sind folglich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