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530 19 67 vom 26. Juni 2020</w:t>
      </w:r>
    </w:p>
    <w:p>
      <w:r>
        <w:t>BL Gerichte, 2020-06-26, DE</w:t>
      </w:r>
    </w:p>
    <w:p>
      <w:r>
        <w:rPr>
          <w:b/>
        </w:rPr>
        <w:t xml:space="preserve">Quelle: </w:t>
      </w:r>
      <w:r>
        <w:t>https://mcp.opencaselaw.ch/entscheid/bl_gerichte_530_19_67</w:t>
      </w:r>
    </w:p>
    <w:p>
      <w:r>
        <w:t>FR: BL_GERICHTE 530 19 67 du 26 juin 2020</w:t>
      </w:r>
    </w:p>
    <w:p>
      <w:r>
        <w:t>IT: BL_GERICHTE 530 19 67 del 26 giugno 2020</w:t>
      </w:r>
    </w:p>
    <w:p>
      <w:pPr>
        <w:pStyle w:val="Heading2"/>
      </w:pPr>
      <w:r>
        <w:t>Regeste</w:t>
      </w:r>
    </w:p>
    <w:p>
      <w:r>
        <w:t>direkte Bundessteuer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Beschwerdeführer trägt die Verfahrenskosten in der Höhe von Fr. 500.--, welche mit dem bereits geleisteten Kostenvorschuss verrechnet werden.</w:t>
      </w:r>
    </w:p>
    <w:p>
      <w:r>
        <w:rPr>
          <w:b/>
        </w:rPr>
        <w:t>E. 3</w:t>
      </w:r>
    </w:p>
    <w:p>
      <w:r>
        <w:t>Mitteilung an den Beschwerdeführer (1), die eidgenössische Steuerverwaltung, Bern (1) und die Steuerverwaltung des Kantons Basel-Landschaft (3).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