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13 50 vom 28. Februar 2014</w:t>
      </w:r>
    </w:p>
    <w:p>
      <w:r>
        <w:t>BL Gerichte, 2014-02-28, DE</w:t>
      </w:r>
    </w:p>
    <w:p>
      <w:r>
        <w:rPr>
          <w:b/>
        </w:rPr>
        <w:t xml:space="preserve">Quelle: </w:t>
      </w:r>
      <w:r>
        <w:t>https://mcp.opencaselaw.ch/entscheid/bl_gerichte_530_13_50</w:t>
      </w:r>
    </w:p>
    <w:p>
      <w:r>
        <w:t>FR: BL_GERICHTE 530 13 50 du 28 février 2014</w:t>
      </w:r>
    </w:p>
    <w:p>
      <w:r>
        <w:t>IT: BL_GERICHTE 530 13 50 del 28 febbraio 2014</w:t>
      </w:r>
    </w:p>
    <w:p>
      <w:pPr>
        <w:pStyle w:val="Heading2"/>
      </w:pPr>
      <w:r>
        <w:t>Regeste</w:t>
      </w:r>
    </w:p>
    <w:p>
      <w:r>
        <w:t>Nach- und Strafsteuern zur direkten Bundessteuer 1999/2000</w:t>
      </w:r>
    </w:p>
    <w:p>
      <w:pPr>
        <w:pStyle w:val="Heading2"/>
      </w:pPr>
      <w:r>
        <w:t>Erwägungen</w:t>
      </w:r>
    </w:p>
    <w:p>
      <w:r>
        <w:rPr>
          <w:b/>
        </w:rPr>
        <w:t>E. 1</w:t>
      </w:r>
    </w:p>
    <w:p>
      <w:r>
        <w:t>Mit Schreiben vom 16. Dezember 2009 teilte die Steuerverwaltung dem Vertreter des Pflichtigen mit, dass in den Jahren 1999 und 2000 nicht alle Einkünfte im Zusammenhang mit Vermittlungsprovisionen der D. Versicherungsgesellschaft deklariert worden seien und daher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direkten Bundessteuer 1999/2000 vom 28. März 2013 wurden dem Pflichtigen sodann Nachsteuern in Höhe von Fr. 241‘400.00, eine Steuerbusse von 150 % der Nachsteuer in Höhe von Fr. 362‘100.00 sowie Verzugszinsen von insgesamt Fr. 111‘447.50 auferlegt. Die Steuerverwaltung führte aus, sie habe im Nach- und Strafsteuerverfahren gegen die F. AG, G. (nachfolgend „F.”), festgestellt, dass in den Jahren 1997 und 1998 der F. zustehende Vermittlungs-Provisionen nicht an diese sondern an eine liechtensteinische Anstalt geflossen seien. Diese Provisionen seien bei der F., an welcher der Steuerpflichtige zu 56% als Aktionär beteiligt sei, weder verbucht noch in den Steuererklärungen der Jahre 1999/2000 deklariert worden. Da der Pflichtige zu 56% an der F. beteiligt gewesen sei, würden ihm 56% der nicht verbuchten Vermittlungs-Provisionen als geldwerte Leistungen zugerechnet. Hinsichtlich des Lebensmittelpunktes führte die Steuerverwaltung aus, sei dieser unstreitig im Kanton Basel-Landschaft, da die Steuererklärung eingereicht und die ordentlichen Steuern bezahlt worden seien. Vorliegend betroffen seien lediglich die Steuerfaktoren des Pflichtigen, weshalb nur ihm eine Busse auferlegt werden könne. lndem der Steuerpflichtige in den Jahren 1999/2000 nicht seine gesamten Einkünfte deklariert habe, habe er in Kauf genommen, zu wenig Steuern bezahlen zu müssen, weshalb der Tatbestand des Art. 175 Abs. 1 DBG zumindest eventualvorsätzlich erfüllt sei. Bei einer vollendeten Steuerhinterziehung betrage die Busse in der Regel das Einfache der Nachsteuer und könne bei leichtem Verschulden bis auf einen Drittel ermässigt, bei schwerem Verschulden bis auf das Dreifache der Nachsteuer erhöht werden. Vorliegend wiege das Verschulden schwer. Strafmilderungsgründe lägen keine vor. Unter Berücksichtigung der persönlichen Verhältnisse werde die Busse auf 150% der Nachsteuer festgelegt.</w:t>
      </w:r>
    </w:p>
    <w:p>
      <w:r>
        <w:rPr>
          <w:b/>
        </w:rPr>
        <w:t>E. 3</w:t>
      </w:r>
    </w:p>
    <w:p>
      <w:r>
        <w:t>Mit Schreiben vom 25. April 2013 erhob der Vertreter des Pflichtigen Einsprache mit den Begehren, 1. Das Verfahren sei bis zum Abschluss der Strafuntersuchung gegen den Pflichtigen und bis zum Abschluss des Nach- und Strafsteuerverfahrens gegen die F. zu sistieren. 2. Dem Einsprecher sei der Revisionsbericht Nr. 2009/219 des Revisors der Steuerverwaltung vom 16. Dezember 2009 zuzustellen und es sei ihm Gelegenheit zu geben seine Einsprache gegebenenfalls zu ergänzen. 3. Die Verfügung betreffend Nachsteuern und Bussen direkten Bundessteuer 1999/2000 vom 28. März 2013 sei aufzuheben. Zur Begründung des Sistierungsantrags führte er u.a. aus, das Besondere Untersuchungsrichteramt des Kantons Basel-Landschaft (nachstehend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 Zudem habe sich der Lebensmittelpunkt des Pflichtigen zur damaligen Zeit in I. (Frankreich) befunden. Die als „Wohnsitz E.” gemeldete Adresse sei die Firmenadresse der F. gewesen. Weiter führte der Vertreter aus, die F. habe als Versicherungsmaklerin den Abschluss von Versicherungsverträgen von konzessionierten Versicherungsgesellschaften, wie der D. (…)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 Als in den Jahren ab 1995 die F. vorübergehend in den Fokus der Konsumentenschutzpresse geraten sei, sei es dieser immer schwerer gefallen, neue Agenten anzustellen. Damals sei der F. das Geschäftsmodell der J., einer Liechtensteinischen Anstalt mit Sitz in K.,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 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 Unter dem Eventualstandpunkt sei der F. für das Jahr 1999 ein Gewinn von Fr. 224'100.-- und für das Jahr 1998 einer von Fr. -61'929.-- aufzurechnen. Dass die Berechnungen der Steuerverwaltung deutlich überzogen seien, ergebe sich auch aus einem Beschluss des Verfahrensgerichtes in Strafsachen des Kantons Basel-Landschaft vom 10. Dezember 2010. Dieses habe festgestellt, dass für Steuern der F. für die Jahre 1999/2000 maximal Fr. 799’847.10 hätten beschlagnahmt werden dürfen. Da unter dem Hauptstandpunkt keine Nachsteuer zu erheben sei, sei auch die Erhebung einer Strafsteuer unzulässig. Falls unter dem Eventualstandpunkt eine Nachsteuer erhoben und das Strafverfahren nicht sistiert werde, sei mangels Verschulden subeventualiter keine Strafsteuer zu erheben. Die Unterlassung der Verbuchung und die nicht erfolgte Deklaration seien korrekt, da diese Provisionen der F. rechtlich nicht zugestanden hätten. Falls trotzdem eine Strafsteuer in Erwägung gezogen würde, sei das Verschulden des Steuerpflichtigen massgebend. Ein Verschulden liege aber nicht vor. Im 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 Der Revisionsbericht sei dem Vertreter mit Datum vom 12. Juli 2013 zugestellt worden. Mit Antwort vom 2. September 2013 habe der Vertreter u.a. erklärt, der Kanton Nidwalden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 Betreffend die Wohnsitzfrage führte die Steuerverwaltung aus, die Ehegatten A. seien in der Gemeinde E. als wohnhaft gemeldet gewesen. Dabei sei die Steuerpflicht für die fraglichen Steuerjahre nie angezweifelt, die Steuererklärung für die Steuerperiode 1999/2000 ausgefüllt und die definitive Veranlagung unbeanstandet in Rechtskraft erwachsen. Zudem seien die Steuerrechnungen bezahlt worden. Wäre eine Steuerpflicht und mithin auch der Wohnsitz in Frage gestanden, hätten die Steuerpflichtigen weder im Veranlagungsverfahren mitgewirkt, noch die Veranlagungsverfügung rechtskräftig werden lassen. 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 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 In Bezug auf den Eventualantrag führte die Steuerverwaltung aus, seien sämtliche Provisionen nachsteuerrelevant. Zudem würden bei der F. die Lohnaufwendungen als Ertragsminderung akzeptiert. Eine entsprechende Aufrechnung im Sinne des Eventualbegehrens falle damit ausser Betracht. 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Einsprache-Entscheid Beschwerde mit den Begehren, 1. Das Verfahren sei bis zum Abschluss der Strafuntersuchung gegen Herrn A. und bis zum Abschluss des Nach- und Strafsteuerverfahrens gegen die F. Finanzanlagen AG zu sistieren. 2. Die Vorinstanz sei anzuweisen, die erwähnten „exemplarischen Protokollauszüge“ vorzulegen und es sei dem Beschwerdeführer die Möglichkeit zur Stellungnahme einzuräumen. 3. Der Einsprache-Entscheid sei aufzuheben und die direkte Bundessteuer 1999/2000 sei unverändert gemäss ursprünglicher Veranlagung zu erheben. 4. Eventualiter sei von einer Strafsteuer abzusehen, subeventualiter sei diese herabzusetzen. 5. Die ordentlichen und ausserordentlichen Kosten des Verfahrens seien der Staatskasse aufzuerlegen. Zur Begründung ist auf die umfangreichen Ausführungen in der Einsprache zu verweisen, welche weitestgehend mit der Begründung der Beschwerde identisch sind. Ergänzend erwähnte der Vertreter, die Strafbehörden seien seit bald 8 Jahren untätig. Hinsichtlich der Provisionen führte der Vertreter aus,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 zugestanden seien. Schliesslich sei darauf hingewiesen, dass die Revisionsgesellschaft M. die Verbuchungspraxis der F. zu keinem Zeitpunkt beanstandet habe. 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w:t>
      </w:r>
    </w:p>
    <w:p>
      <w:r>
        <w:rPr>
          <w:b/>
        </w:rPr>
        <w:t>E. 6</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Staats- und Gemeindesteuer (inkl. Kirchen- und Fürsorgesteuer) 1999 und 2000 bis zum Abschluss des Strafverfahrens gegen A. stattzugeben. Mit Verfügung vom 22. Januar 2014 legte das Steuergericht fest, dass sowohl die Beurteilung der Einsprache gegen die verfahrensleitende Verfügung vom 3. Januar 2014, als auch die Beurteilung der in der Beschwerde gestellten materiellen Begehren zusammen erfolge.</w:t>
      </w:r>
    </w:p>
    <w:p>
      <w:r>
        <w:rPr>
          <w:b/>
        </w:rPr>
        <w:t>E. 7</w:t>
      </w:r>
    </w:p>
    <w:p>
      <w:r>
        <w:t>Mit Vernehmlassung vom 22. Januar 2014 beantragte die Steuerverwaltung die Abweisung der Beschwerde. Zur Begründung führte sie u.a. aus, der Beschwerdeführer sei nie dazu gezwungen worden, sich selber oder Dritte aufgrund seiner eigenen Aussage zu belasten. Es werde ihm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Der Antrag auf Sistierung sei demnach abzuweisen. 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„J.-Agenten“. Da der Beschwerdeführer als Aktionär massgeblich an den Gewinnen der F. beteiligt gewesen sei, würden die (unverbucht gebliebenen) Vermittlungsprovisionen bei ihm geldwerte Leistungen darstellen. Diese seien in der privaten Steuererklärung nicht deklariert worden. Die Nachsteuer sei zu bestätigen. Als damaliger Geschäftsführer und Mehrheitsaktionär habe der Beschwerdeführer massgeblichen Einfluss auf die F. gehabt. Entsprechend habe er vom Geschäftsmodell Kenntnis gehabt. Damit sei der Tatbestand der Steuerhinterziehung zumindest (eventual-) vorsätzlich erfüllt. Der Beschwerdeführer habe es unterlassen, die entsprechenden geldwerten Leistungen in seiner privaten Steuererklärung ordentlich zu deklarieren. Er habe eine Steuerverkürzung in Kauf genommen, womit ein Verschulden nicht von der Hand zu weisen sei. Sowohl die lange Verfahrens- als auch die vergleichsweise kurze Hinterziehungsdauer seien bei der Festsetzung der Busse bereits berücksichtigt worden. Eine weitere Reduktion der Strafsteuer sei nicht möglich.</w:t>
      </w:r>
    </w:p>
    <w:p>
      <w:r>
        <w:rPr>
          <w:b/>
        </w:rPr>
        <w:t>E. 8</w:t>
      </w:r>
    </w:p>
    <w:p>
      <w:r>
        <w:t>Mit Eingabe vom 20. Februar 2014 beantragte der Vertreter, für den Fall dass die Einsprache des Beschwerdeführers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Schliesslich ist der Grad des Verschuldens des Pflichtigen festzusetzen. a) Gemäss der bundesrechtlichen Regelung in Art. 175 DBG beträgt die Busse bei vollendeter Steuerhinterziehung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StGB in Verbindung mit Art. 65 f. StGB zulässig (vgl. Sieber in: a.a.O., Art. 175 DBG N 42). b) Fiskalstrafen sind echte Strafen, weshalb bei der Beurteilung der Schuld strafrechtliche Grundsätze massgebend sind. (vgl. Blumenstein/Locher, System des schweizerischen Steuerrechts, S. 373). Der Richter bemisst die Strafe nach dem Verschulden des Täters.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der darf (vgl. Thomas Hofer, Strafzumessung bei der Hinterziehung direkter Steuern, Zürich/St.Gallen 2007, S. 65f.). c)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87f.). d) Ausgangspunkt für die Beurteilung der Strafzumessung ist die von der Steuerverwaltung verfügte Busse in Höhe von 150 % der Nachsteuer. Angesichts der Tatsache, dass es sich vorliegend nicht lediglich um eine Steuerhinterziehung „en passant“ handelt und es wie bereits dargestellt, einiger Rechtshandlungen und Überlegungen bedurfte, das Steuersubstrat ausser Landes zu schaffen, ist die von der Steuerverwaltung festgesetzte Bussenhöhe nicht weiter zu beanstanden. Die Höhe des hinterzogenen Betrages und der absichtliche Einsatz eines Konstrukts mit einer liechtensteinischen Anstalt, was als schweres Verschulden zu qualifizieren ist, rechtfertigt die verfügte Strafsteuer. Selbst die Auferlegung einer höheren Busse wäre bereits aufgrund der überaus hohen Summe der hinterzogenen Steuer durchaus vertretbar gewesen. Insofern erübrigt sich eine Auseinandersetzung darüber, ob die Busse reduziert werden muss oder nicht, da sich dafür keine sachlich gerechtfertigten Reduktionsgründe finden lassen. Bei einem maximalen Strafrahmen von 300 % der Nachsteuer ist davon auszugehen, dass die lange Verfahrensdauer bei der verfügten Strafsteuer von 150 % der Nachsteuer hinreichend berücksichtigt worden ist. Die Beschwerde erweist sich demnach als unbegründet und ist vollumfänglich abzuweisen.</w:t>
      </w:r>
    </w:p>
    <w:p>
      <w:r>
        <w:rPr>
          <w:b/>
        </w:rPr>
        <w:t>E. 10</w:t>
      </w:r>
    </w:p>
    <w:p>
      <w:r>
        <w:t>Entsprechend dem Ausgang des Verfahrens sind dem Beschwerdeführer die Verfahrenskosten in Höhe von Fr. 1'000.-- aufzuerlegen (Art. 144 Abs. 1 DBG) und es ist ihm keine Parteientschädigung zuzusprechen (Art. 144 Abs. 4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