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2018 40 vom 30. November 2018</w:t>
      </w:r>
    </w:p>
    <w:p>
      <w:r>
        <w:t>BL Gerichte, 2018-11-30, DE</w:t>
      </w:r>
    </w:p>
    <w:p>
      <w:r>
        <w:rPr>
          <w:b/>
        </w:rPr>
        <w:t xml:space="preserve">Quelle: </w:t>
      </w:r>
      <w:r>
        <w:t>https://mcp.opencaselaw.ch/entscheid/bl_gerichte_510_2018_40</w:t>
      </w:r>
    </w:p>
    <w:p>
      <w:r>
        <w:t>FR: BL_GERICHTE 510 2018 40 du 30 novembre 2018</w:t>
      </w:r>
    </w:p>
    <w:p>
      <w:r>
        <w:t>IT: BL_GERICHTE 510 2018 40 del 30 novembre 2018</w:t>
      </w:r>
    </w:p>
    <w:p>
      <w:pPr>
        <w:pStyle w:val="Heading2"/>
      </w:pPr>
      <w:r>
        <w:t>Regeste</w:t>
      </w:r>
    </w:p>
    <w:p>
      <w:r>
        <w:t>Staatssteuer 2014</w:t>
      </w:r>
    </w:p>
    <w:p>
      <w:pPr>
        <w:pStyle w:val="Heading2"/>
      </w:pPr>
      <w:r>
        <w:t>Erwägungen</w:t>
      </w:r>
    </w:p>
    <w:p>
      <w:r>
        <w:rPr>
          <w:b/>
        </w:rPr>
        <w:t>E. 1</w:t>
      </w:r>
    </w:p>
    <w:p>
      <w:r>
        <w:t>Das Steuergericht ist gemäss § 124 des Gesetzes über die Staats- und Gemeindesteuern (Steuergesetz) vom 7. Februar 1974 (StG) zur Beurteilung des vorliegenden Rekurses zuständig. Gemäss § 129 Abs. 1 StG werden Rekurse, deren umstrittener Steuerbetrag wie im vorliegenden Fall Fr. 2'000.-- pro Steuerjahr nicht übersteigt, vom Präsidenten des Steuergerichts als Einzelrichter beurteilt. Da die in formeller Hinsicht an einen Rekurs zu stellenden Anforderungen erfüllt sind, ist ohne weitere Ausführungen darauf einzutreten.</w:t>
      </w:r>
    </w:p>
    <w:p>
      <w:r>
        <w:rPr>
          <w:b/>
        </w:rPr>
        <w:t>E. 2.1</w:t>
      </w:r>
    </w:p>
    <w:p>
      <w:r>
        <w:t>Gemäss § 23 Abs. 2 i.V.m. § 24 lit. d StG sind die Naturaleinkünfte aller Art, insbesondere der Wert selbstverwendeter Erzeugnisse und Waren des eigenen Betriebes, durch eigene Arbeitsleistungen geschaffene Werte, der Mietwert selbstgenutzter Liegenschaften, der Bezug und die Nutzung von Sachen, Rechten und Dienstleistungen steuerbar. Zum steuerbaren Einkommen gehören insbesondere alle Einkünfte aus unbeweglichem Vermögen, insbesondere aus Vermietung und Verpachtung, Eigengebrauch sowie wiederkehrende Einkünfte aus Bau-rechts- oder anderen Nutzungsverträgen (§ 24 lit. d StG). Die Berechnung des steuerbaren Eigenmietwertes wird durch das basellandschaftliche Steuerrecht in § 27ter StG im Einzelnen explizit angeordnet und geregelt. Eine massgebliche Selbstnutzung liegt dann vor, wenn ein Gebäude zu Wohn- oder anderen Zwecken tatsächlich selbst gebraucht wird. Dabei ist es ausreichend, wenn der Steuerpflichtige sein Haus oder seine Wohnung jederzeit zu seiner Verfügung hält und beziehen kann, ohne das Wohnrecht tatsächlich auszuüben; den entsprechenden Nutzen hat er zu versteuern, wie wenn er das ganze Jahr darin gewohnt hätte (vgl. Der Steuerentscheid [StE], 1992, B 25.3 Nr. 13, E. 2a mit weiteren Hinweisen; vgl. Entscheid des Bundesgerichts 2C_773/2009 vom 23. April 2010, E. 2.1). Dasselbe gilt für unbenützte Wohnungen und Liegenschaften (z.B. Ferienhäuser), die der Eigentümer zu seiner Verfügung hält und deshalb nicht vermieten will (vgl. Findeisen / Theiler , a.a.O., § 27ter N 6; vgl. Höhn / Waldburger , Steuerrecht Band II, 9. Aufl., Bern/Stuttgart/Wien 2002, § 41 N 36 mit weiteren Hinweisen; vgl. Richner / Frei / Kaufmann / Meuter , Handkommentar zum DBG, 3. A. Zürich 2016, Art. 21 N 77 ff.). Vermietet der Eigentümer - wie hier - seine Liegenschaft zu einem stark reduzierten Mietzins mit der Folge, dass er nur die (geringen) Mieteinnahmen, nicht aber den Eigenmietwert zu versteuern hat, stellt sich die Frage, ob ihm der Betrag aufzurechnen ist, um den der steuerlich massgebliche Eigenmietwert den vereinbarten Mietzins übersteigt. Allerdings rechtfertigt nicht jede Differenz zwischen Eigenmietwert und finanzieller Abgeltung an den Eigentümer eine Aufrechnung. Die steuerliche Erfassung ist nur am Platz, wenn ein bedeutender Differenzbetrag resultiert. Im Zusammenhang mit der unterpreislichen Vermietung von Wohneigentum wird praxisgemäss eine Umgehung der für den Eigenmietwert geschuldeten Steuer angenommen, wenn der Mietzins weniger als die Hälfte des Eigenmietwerts ausmacht. Der steuerpflichtigen Person steht in einem solchen Fall der Nachweis offen, dass entgegen der bestehenden Vermutung keine Steuerumgehung vorliegt (vgl. BGer 2C_475/2016 vom 30. November 2016 E. 2.2 m.w.H.). Diese Praxis gilt sowohl für die Staatssteuer als auch für die direkte Bundessteuer (vgl. Kurzmitteilung Nr. 165 (Ergänzung) vom 21. April 2008, Vorzugsmietzins für Verwandte; Baselbieter Steuerbuch, Bd. 1, 24 Nr. 9, unter www.bl.ch). Miete ist die Überlassung einer Sache zum Gebrauch gegen Leistung eines Mietzinses ( Roger Weber in: Honsell/Vogt/Wiegand [Hrsg.], Basler Kommentar - Obligationenrecht I, 6. Aufl. 2015, N 1 zu Vor Art. 253-273c). Wird einer nahestehenden Person ein Haus oder eine Wohnung dagegen absolut unentgeltlich zur Verfügung gestellt, so wird eine Gebrauchsleihe gemäss Art. 305 ff. OR angenommen. Der Eigentümer gilt diesfalls wegen der leichten Ablösbarkeit des Vertragsverhältnisses immer noch als „Inhaber“ der Wohnung, weshalb er weiterhin den Mietwert der zum Gebrauch überlassenen Räume als Einkommen zu versteuern hat (vgl. Locher Peter , Kommentar zum DBG, 1A. Therwil 2001, Art. 21 N 23). Die Gebrauchsleihe ist damit dem Eigengebrauch gleichzustellen (vgl. Roman Blöchliger , Die Besteuerung der Vorzugsmiete an Liegenschaften, StR 62/2007, S. 610 ff.).</w:t>
      </w:r>
    </w:p>
    <w:p>
      <w:r>
        <w:rPr>
          <w:b/>
        </w:rPr>
        <w:t>E. 2.2</w:t>
      </w:r>
    </w:p>
    <w:p>
      <w:r>
        <w:t>Vorliegend haben die Rekurrenten dem Sohn der Ehefrau ihre Liegenschaft zur Verfügung gestellt und mit ihm vereinbart, dass er nur dann einen Mietzins bezahlen muss, wenn er dazu wirtschaftlich in der Lage ist, was in der Periode 2014 nicht der Fall war. Damit haben die Pflichtigen implizit auf die Vereinnahmung der vereinbarten Mietzinsen, zumindest im ersten Jahr der Geschäftseröffnung, verzichtet und dem Sohn die Liegenschaft unentgeltlich zur Verfügung gestellt, was gemäss dem Ausgeführten einer Gebrauchsleihe gemäss Art. 305 OR entspricht, wobei der Eigentümer wegen der leichten Auflösbarkeit des Vertragsverhältnisses der Gebrauchsleihe steuerrechtlich immer noch als Inhaber der Wohnung zu betrachten ist, obwohl sie ihm während der Dauer der Gebrauchsleihe nicht mehr unmittelbar zur Verfügung steht. Ebenso legt der Rekurrent nichts ins Recht, was geeignet erscheint, die gemäss der bundesgerichtlichen Praxis bestehende Vermutung der Steuerumgehung zu widerlegen. Auch aus diesem Grund ist die im angefochtenen Einspracheentscheid erfolgte Aufrechnung eines Eigenmietwertes in Höhe von Fr. 9‘106.--, was einem Drittel des gesamten Eigenmietwertes von Fr. 27‘318.--entspricht, nicht zu beanstanden.</w:t>
      </w:r>
    </w:p>
    <w:p>
      <w:r>
        <w:rPr>
          <w:b/>
        </w:rPr>
        <w:t>E. 3</w:t>
      </w:r>
    </w:p>
    <w:p>
      <w:r>
        <w:t>Damit erweist sich der Rekurs als unbegründet und ist abzuweisen. Bei diesem Ausgang des Verfahrens haben die Rekurrenten gestützt auf § 130 StG i. V. m. § 20 Abs. 1 und 3 VPO Verfahrenskosten in Höhe von Fr. 500.-- zu bezahlen.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