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18 20 vom 16. November 2018</w:t>
      </w:r>
    </w:p>
    <w:p>
      <w:r>
        <w:t>BL Gerichte, 2018-11-16, DE</w:t>
      </w:r>
    </w:p>
    <w:p>
      <w:r>
        <w:rPr>
          <w:b/>
        </w:rPr>
        <w:t xml:space="preserve">Quelle: </w:t>
      </w:r>
      <w:r>
        <w:t>https://mcp.opencaselaw.ch/entscheid/bl_gerichte_510_18_20</w:t>
      </w:r>
    </w:p>
    <w:p>
      <w:r>
        <w:t>FR: BL_GERICHTE 510 18 20 du 16 novembre 2018</w:t>
      </w:r>
    </w:p>
    <w:p>
      <w:r>
        <w:t>IT: BL_GERICHTE 510 18 20 del 16 novembre 2018</w:t>
      </w:r>
    </w:p>
    <w:p>
      <w:pPr>
        <w:pStyle w:val="Heading2"/>
      </w:pPr>
      <w:r>
        <w:t>Regeste</w:t>
      </w:r>
    </w:p>
    <w:p>
      <w:r>
        <w:t>Staatssteuer 2008 - 2012 (Nach- und Strafsteuer)</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8'000.-- pro Steuerjahr übersteigt, vom Präsidenten und vier Richterinnen und Richtern des Steuergerichts beurteilt. Da die in formeller Hinsicht an einen Rekurs zu stellenden Anforderungen erfüllt sind, ist ohne weiteres darauf einzutreten.</w:t>
      </w:r>
    </w:p>
    <w:p>
      <w:r>
        <w:rPr>
          <w:b/>
        </w:rPr>
        <w:t>E. 2</w:t>
      </w:r>
    </w:p>
    <w:p>
      <w:r>
        <w:t>Dass die Steuerverwaltung auf das nicht deklarierte Vermögen eine Nachsteuer erhebt, wird vom Rekurrenten ausdrücklich nicht beanstandet. Strittig und mithin zu prüfen ist jedoch, ob die Steuerverwaltung für das nicht deklarierte Konto bzw. Bank-Schliessfach neben der Vermögensnachsteuer zu Recht auch eine Einkommensnachsteuer erhoben hat.</w:t>
      </w:r>
    </w:p>
    <w:p>
      <w:r>
        <w:rPr>
          <w:b/>
        </w:rPr>
        <w:t>E. 2.1</w:t>
      </w:r>
    </w:p>
    <w:p>
      <w:r>
        <w:t>Ergibt sich gemäss § 146 Abs. 1 StG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seit Fälligkeit als Nachsteuer eingefordert.</w:t>
      </w:r>
    </w:p>
    <w:p>
      <w:r>
        <w:rPr>
          <w:b/>
        </w:rPr>
        <w:t>E. 2.2</w:t>
      </w:r>
    </w:p>
    <w:p>
      <w:r>
        <w:t>Im Steuerrecht beruht der Einkommensbegriff nach herrschender Lehre und bundesgerichtlicher Rechtsprechung grundlegend auf der Reinvermögenszugangstheorie (vgl. BGE 122 I 101 E. 4a). Danach ist als Einkommen die Gesamtheit der Wirtschaftsgüter zu betrachten, welche dem Pflichtigen während einer bestimmten Zeit zufliessen und die er ohne Schmälerung (Verzehr) seines Vermögens zur Befriedigung seiner persönlichen Bedürfnisse und seiner laufenden Wirtschaft (Zuwendungen, Sparen, Anlage, Deckung von eingetretenen Verlusten) verwenden kann (vgl. Urteil des Bundesgerichts [BGer] 2A_181/2002 vom 27. Januar 2003). Der Reinvermögenszugang, wie er § 23 Abs. 1 StG bzw. Art. 7 Abs. 1 des Bundesgesetz vom 14. Dezember 1990 über die Harmonisierung der direkten Steuern der Kantone und Gemeinden (Steuerharmonisierungsgesetz, StHG; SR 642.14) zugrunde liegt, besteht in einer Nettogrösse. Er entspricht dem Überschuss aller Vermögenszugänge gegenüber den Vermögensabgängen derselben Steuerperiode (vgl. BGE 139 II 363 E. 2.2). Steuerfrei sind nur die in § 28 lit. a – m StG bzw. Art. 7 Abs. 4 lit. a – m StHG aufgezählten Einkünfte. Dabei handelt es sich nach einhelliger Auffassung um eine abschliessende Aufzählung ( Reich / Weidmann in: Zweifel/Beusch [Hrsg.], Kommentar zum Schweizerischen Steuerrecht, Bundesgesetz über die Harmonisierung der direkten Steuern der Kantone und Gemeinden, 3. Aufl. 2017, Art. 7 StHG N 76, m.w.H.). Im Gegensatz zum Veranlagungs- und Nachsteuerverfahren gilt im Steuerstrafverfahren die Unschuldsvermutung (Art. 32 Abs. 1 der Bundesverfassung der Schweizerischen Eidgenossenschaft vom 18. April 1999 [BV; SR 101]), und die steuerpflichtige Person hat im Hinterziehungsverfahren auch keine Mitwirkungspflicht. Auch im Steuerhinterziehungsverfahren ist es jedoch zulässig, die Höhe eines hinterzogenen Einkommensbestandteils zu schätzen (vgl. BGer 2C_214/2014 vom 7. August 2014 E. 3.6.2, m.w.H.).</w:t>
      </w:r>
    </w:p>
    <w:p>
      <w:r>
        <w:rPr>
          <w:b/>
        </w:rPr>
        <w:t>E. 2.3</w:t>
      </w:r>
    </w:p>
    <w:p>
      <w:r>
        <w:t>Vorliegend ist unbestritten, dass der Rekurrent der wirtschaftlich Berechtigte des besagten Bankkontos bzw. Schliessfachs ist und ihm diese Vermögenswerte in Höhe Fr. 329‘556.30 rechtlich zuzuordnen sind. Der Rekurrent stellt sich hinsichtlich des Einkommens aber auf den Standpunkt, es könne hier kein undeklariertes Einkommen aufgerechnet werden, da die angesparten Vermögenswerte von seiner Familie stammen würden. Er beruft sich also auf ein Pooling der Einkünfte seiner Mutter, seiner Schwestern und Brüder, wobei er übersieht, dass eine gemeinsame Besteuerung nur bei Ehegatten und minderjährigen Kindern vorgesehen ist. Damit verkennt der Rekurrent, dass vorliegend ein Reinvermögenszugang zu besteuern ist, zumal keine von der Einkommensteuer ausgenommenen Einkünfte, wie insbesondere die innerhalb der Familie üblichen Erbschaften oder Schenkungen, nachgewiesen oder auch nur geltend gemacht wurden. Damit hat die Steuerverwaltung die laufenden Vermögenszugänge auf dem nicht deklarierten Bankkonto bzw. Schliessfach zu Recht als Einkommen aufgerechnet. Auch in quantitativer Hinsicht sind die Aufrechnungen der Steuerverwaltung mittels Vermögens- und Einkommensrechnungen, welche auf praxisüblichen Annahmen des Lebensunterhalts fussen, nicht zu beanstanden. Soweit der Pflichtige nachvollziehbare und begründete Einwendungen vorbrachte, hat die Steuerverwaltung diese zudem in sachgerechter Weise berücksichtigt. Insbesondere wurden die Nachsteuerberechnungen 2005 bis 2012 aufgrund der Ausführungen in der Stellungnahme vom 9. Februar 2015 zu der Ausbildungszeit in dieser Periode auf die Jahre 2008 bis 2012 reduziert.</w:t>
      </w:r>
    </w:p>
    <w:p>
      <w:r>
        <w:rPr>
          <w:b/>
        </w:rPr>
        <w:t>E. 3</w:t>
      </w:r>
    </w:p>
    <w:p>
      <w:r>
        <w:t>Weiter ist strittig, ob die Steuerverwaltung dem Pflichtigen zu Recht eine Busse in Höhe von 100% der Nachsteuer auferlegt hat.</w:t>
      </w:r>
    </w:p>
    <w:p>
      <w:r>
        <w:rPr>
          <w:b/>
        </w:rPr>
        <w:t>E. 3.1</w:t>
      </w:r>
    </w:p>
    <w:p>
      <w:r>
        <w:t>Gemäss § 151 StG wird, wer als Steuerpflichtiger vorsätzlich oder fahrlässig bewirkt, dass eine Veranlagung zu Unrecht unterbleibt oder dass eine rechtskräftige Veranlagung unvollständig ist, mit einer Busse entsprechend seinem Verschulden bestraft, die einen Drittel bis das Dreifache, in der Regel das Einfache der hinterzogenen Steuer beträgt; bei Selbstanzeige kann die Busse bis auf einen Fünftel der hinterzogenen Steuer ermässigt werden. Der Tatbestand der sog. Steuerverkürzung erfordert in objektiver Hinsicht, dass der Steuerpflichtige einen ungerechtfertigten Steuervorteil erlangt hat, weil die Veranlagungsbehörde für Bestand und Umfang der Steuerpflicht wesentliche Tatsachen nicht gekannt hat und die Veranlagung aus diesem Grund zu Unrecht unterblieben oder ungenügend ausgefallen und in Rechtskraft erwachsen ist (vgl. Entscheid des Steuergerichts [StGE] vom 24. Januar 2014, 510 13 29 E. 8, m .w.H.). In subjektiver Hinsicht ist zu prüfen, ob dem Steuerpflichtigen Vorsatz oder Fahrlässigkeit anzulasten ist. Vorsätzlich begeht eine Steuerhinterziehung, wer die Tat mit Wissen und Willen ausführt (vgl. Art. 18 Abs. 2 des Schweizerisches Strafgesetzbuchs vom 21. Dezember 1937 [Strafgesetzbuch, StGB; SR 311.0]). Der Nachweis des Vorsatzes gilt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(BGer 2C_1157/2016, 2C_1158/2016 vom 2. November 2017 E. 6.2, m.w.H.). Fahrlässig handelt, wer die Folge seines Verhaltens aus pflichtwidriger Unvorsichtigkeit nicht bedenkt oder darauf nicht Rücksicht nimmt. Pflichtwidrig ist die Unvorsichtigkeit, wenn der Täter die Vorsicht nicht beobachtet, zu der er nach den Umständen und nach seinen persönlichen Verhältnissen verpflichtet ist. Der gegenüber dem Täter erhobene Vorwurf bezieht sich somit auf fehlende oder ungenügende Sorgfalt. Dem Beschuldigten sind die Umstände vorzuhalten, aus denen sich die Pflichtwidrigkeit seines Verhaltens sowie Vorhersehbarkeit und Vermeidbarkeit des Erfolgs ergeben. Je nachdem, ob der Täter die mögliche Bedeutung seines Verhaltens bedacht hat, liegt bewusste oder unbewusste Fahrlässigkeit vor. An das Mass der im Steuerrecht geforderten Sorgfalt werden generell hohe Anforderungen gestellt. Im Einzelfall bestimmt sich die gebotene Sorgfalt danach, wie komplex der zu beurteilen-de steuerrechtliche Sachverhalt ist und wie detailliert und klar die Steuerbehörde die Mitwirkung der dazu verpflichteten Person verlangt. Neben diesen Umständen (objektive Sorgfaltspflicht) sind jedoch auch die persönlichen Verhältnisse des Täters (subjektive Sorgfaltspflicht) zu beachten (vgl. Entscheid des Steuergerichts [StGE] vom 24. Januar 2014, 510 13 29 E. 9b, m .w.H).</w:t>
      </w:r>
    </w:p>
    <w:p>
      <w:r>
        <w:rPr>
          <w:b/>
        </w:rPr>
        <w:t>E. 3.2</w:t>
      </w:r>
    </w:p>
    <w:p>
      <w:r>
        <w:t>Im hier zu beurteilenden Fall blieben die ordentlichen Veranlagungen für die Jahre 2008 bis 2012 mangels Deklaration des Vermögens und des entsprechenden Vermögenszugangs auf das besagte Konto bzw. Schliessfach unvollständig, weshalb das Gemeinwesen einen Steuer-ausfall erlitten hat. Demzufolge ist vorliegend der objektive Tatbestand der Steuerhinterziehung erstellt. Hinsichtlich des subjektiven Tatbestandes hat die Steuerverwaltung zu Recht erkannt, der Steuerpflichtige habe um die Pflicht zur Deklaration des Kontos gewusst, zumal er in den Jahren 2009 bis 2011 sogar explizit bestätigte, keine Konti zu besitzen. Bei dieser Sachlage ist in subjektiver Hinsicht ohne weiteres von einem vorsätzlichen Handeln des Rekurrenten auszugehen.</w:t>
      </w:r>
    </w:p>
    <w:p>
      <w:r>
        <w:rPr>
          <w:b/>
        </w:rPr>
        <w:t>E. 3.3</w:t>
      </w:r>
    </w:p>
    <w:p>
      <w:r>
        <w:t>Innerhalb des Strafrahmens legt das Gericht die Strafe nach Massgabe des Verschuldens (Art. 47 StGB) fest. Der Strafrahmen darf im Grundsatz weder übernoch unterschritten werden, es sei denn, es lägen gesetzlich geregelte Strafmilderungsoder schärfungsgründe im Sinne von Art. 48 StGB vor (vgl. BGer 2C_1157/2016, 2C_1158/2016 vom 2. November 2017 E. 6.2, m.w.H.). Das Steuergesetz präzisiert in § 155 StG, dass sich die Strafzumessung nach der Schwere des Verschuldens, nach dem eingetretenen oder beabsichtigten Erfolg und nach den persönlichen Verhältnissen des Angeschuldigten richtet. Zu den persönlichen Verhältnissen zählen etwa Familienstand und Beruf, Alter, geringe Lebenserwartung, Gesundheit, soziale Herkunft, Lebenserfahrung, Bildungsstand, mehr oder weniger günstige Lebensverhältnisse oder auch Alkohol- und Drogenabhängigkeit (vgl. Entscheid des Steuergerichts [StGE] vom 24. Januar 2014, 510 13 29 E. 10, m .w.H). Zu Gunsten des Rekurrenten kann vorliegend einzig dessen jugendliches Alter berücksichtigt werden. Jedoch handelte der Rekurrent vorsätzlich und hinterzog - über Jahre hinweg - eine im Verhältnis zu seinem Einkommen beträchtliche Summe, wobei er keine Reue zeigte. Daher ist die Busse, welche von der Steuerverwaltung auf 100 % der Nachsteuer festgelegt wurde, jedenfalls nicht zu hoch, weswegen sie weder zu reduzieren geschweige denn aufzuheben ist. Als Folge davon kann auch dem Antrag auf Freigabe der verarrestierten Vermögenswerte nicht entsprochen werden.</w:t>
      </w:r>
    </w:p>
    <w:p>
      <w:r>
        <w:rPr>
          <w:b/>
        </w:rPr>
        <w:t>E. 4</w:t>
      </w:r>
    </w:p>
    <w:p>
      <w:r>
        <w:t>Nach dem Obenstehenden erweist sich der Rekurs insgesamt als unbegründet und ist abzuweisen. Ausgangsgemäss hat der Rekurrent gestützt auf § 130 StG i.V.m. § 20 Abs. 1 und 3 des Gesetzes vom 16. Dezember 1993 über die Verfassungs- und Verwaltungsprozessordnung (Verwaltungsprozessordnung, VPO; SGS 271) Verfahrenskosten von Fr. 2‘000.-- zu bezahlen und es ist ihm gestützt auf § 130 StG i.V.m. § 21 Abs. 3 VPO keine Parteientschädigung auszurichten. 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