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14 26 vom 7. November 2014</w:t>
      </w:r>
    </w:p>
    <w:p>
      <w:r>
        <w:t>BL Gerichte, 2014-11-07, DE</w:t>
      </w:r>
    </w:p>
    <w:p>
      <w:r>
        <w:rPr>
          <w:b/>
        </w:rPr>
        <w:t xml:space="preserve">Quelle: </w:t>
      </w:r>
      <w:r>
        <w:t>https://mcp.opencaselaw.ch/entscheid/bl_gerichte_510_14_26</w:t>
      </w:r>
    </w:p>
    <w:p>
      <w:r>
        <w:t>FR: BL_GERICHTE 510 14 26 du 7 novembre 2014</w:t>
      </w:r>
    </w:p>
    <w:p>
      <w:r>
        <w:t>IT: BL_GERICHTE 510 14 26 del 7 novembre 2014</w:t>
      </w:r>
    </w:p>
    <w:p>
      <w:pPr>
        <w:pStyle w:val="Heading2"/>
      </w:pPr>
      <w:r>
        <w:t>Regeste</w:t>
      </w:r>
    </w:p>
    <w:p>
      <w:r>
        <w:t>Staatssteuer 2011</w:t>
      </w:r>
    </w:p>
    <w:p>
      <w:pPr>
        <w:pStyle w:val="Heading2"/>
      </w:pPr>
      <w:r>
        <w:t>Erwägungen</w:t>
      </w:r>
    </w:p>
    <w:p>
      <w:r>
        <w:rPr>
          <w:b/>
        </w:rPr>
        <w:t>E. 1</w:t>
      </w:r>
    </w:p>
    <w:p>
      <w:r>
        <w:t>Mit Veranlagungsverfügung vom 20. Juni 2013 wurde die von der Genossenschaft C. ausgerichtete Dividende in Höhe von Fr. 10‘000.-- zum vollen Satz besteuert.</w:t>
      </w:r>
    </w:p>
    <w:p>
      <w:r>
        <w:rPr>
          <w:b/>
        </w:rPr>
        <w:t>E. 2</w:t>
      </w:r>
    </w:p>
    <w:p>
      <w:r>
        <w:t>Gegen diese Veranlagungsverfügung erhob der damalige Vertreter des Pflichtigen Einsprache und beantragte die Rektifizierung der Veranlagung 2011 sowie die Besteuerung der von der Genossenschaft C. ausgerichteten Dividende/Gewinnausschüttung von Fr. 10‘000.--nur mit dem halben Steuersatz (50% von 4.035973%) der übrigen steuerbaren Einkünfte. Zur Begründung führte er aus, die von Kapitalgesellschaften und Genossenschaften ausgerichteten Dividenden und Gewinnanteile würden reduziert besteuert, falls der Begünstigte zu mindestens 10% am Grund- oder Stammkapital der Gesellschaft beteiligt sei. Im Jahre 2011 sei an alle Teilhaber eine einheitliche Ausschüttung von Fr. 10‘000.-- ausgerichtet worden. Da an der Genossenschaft C. aktuell 7 Personen beteiligt seien und je eine einheitlich hohe Dividende ausgeschüttet worden sei, sei von einer qualifizierten Beteiligung von 1/7 respektive 14.29% auszugehen. Im Gesetzeswortlaut werde eine Beteiligung von 10% am Grund- oder Stammkapital der Gesellschaft gefordert, um in den Genuss der privilegierten Besteuerung zu kommen. Es sei unbestritten, dass die Genossenschaft C. über kein Grundkapital verfüge. Zudem sei fraglich, wieso eine qualifizierte Beteiligung nur im Falle eines vorhandenen Grund- oder Stammkapitals möglich sein sollte. Ziel des Unternehmenssteuerreformgesetzes ll sei eine steuerliche Entlastung von Eignern von Familienunternehmen und Aktionären von mittelgrossen Firmen und eine Milderung der wirtschaftlichen Doppelbelastung gewesen. Dabei sei die Genossenschaft ausdrücklich erwähnt worden. In diesem Zusammenhang sei auf das Urteil vom 25. Oktober 2012 des Steuerrekursgerichtes des Kantons Aargau hinzuweisen, welcher einen ähnlichen Fall zum Gegenstand gehabt habe. Es sei zudem nicht bekannt, dass eine Genossenschaft ohne Grundkapital von der privilegierten Besteuerung ausgenommen sein solle. Selbst das Argument, die qualifizierte Beteiligung könne ohne Grund- oder Stammkapital nicht nachgewiesen werden, sei widerlegbar.</w:t>
      </w:r>
    </w:p>
    <w:p>
      <w:r>
        <w:rPr>
          <w:b/>
        </w:rPr>
        <w:t>E. 3</w:t>
      </w:r>
    </w:p>
    <w:p>
      <w:r>
        <w:t>Mit Einsprache-Entscheid vom 5. März 2014 wies die Steuerverwaltung die Einsprache ab. Zur Begründung führte sie u.a. aus, im Rahmen der Unternehmenssteuerreform ll sei für Einkünfte aus Beteiligungsrechten des Geschäftsvermögens bzw. Einkünfte aus Beteiligungsrechten des Privatvermögens die sog. Teilbesteuerung für natürliche Personen, welche in der Schweiz steuerpflichtig seien, eingeführt worden. Danach seien Einkünfte aus Beteiligungsrechten nur im Umfang von 50 Prozent (Geschäftsvermögen) resp. von 60 Prozent (Privatvermögen) steuerbar, soweit die Beteiligungsrechte mindestens 10 Prozent des Grund-oder Stammkapitals einer Kapitalgesellschaft oder Genossenschaft darstellen und im Falle von Geschäftsvermögen die Mindesthaltedauer eines Jahres erfüllt sei. Gemäss Kreisschreiben Nr.22 würden unter Beteiligungsrechten die Anteile am Grund- oder Stammkapital von Kapitalgesellschaften und Genossenschaften verstanden. Eine Teilbesteuerung der Einkünfte aus Beteiligungen im Privatvermögen würde aus Sicht der ESTV voraussetzen, dass Beteiligungsrechte in Form von Genossenschaftsanteilen vorhanden seien. Verfüge eine Genossenschaft nicht über ein Grund-/Stammkapital und existierten demnach auch keine Genossenschaftsanteile, liege eine Genossenschaft ohne Anteilscheine vor und sei eine Teilbesteuerung ausgeschlossen. Die Genossenschaft C. sei eine Genossenschaft ohne Anteilscheine. Laut Art. 39 der Statuten sei das, nach der Durchführung der Liquidation, der Erfüllung aller Verbindlichkeiten und der Gewährleistung einer angemessenen Sozialfürsorge zu Gunsten der Arbeitnehmer, verbliebene Genossenschaftskapital (Liquidationserlös) an die Genossenschafter pro Betrieb zu verteilen. Damit handle es sich um eine Erwerbsgenossenschaft. Eine Teilbesteuerung sei nur aufgrund eines Nachweises mittels Anteilsscheinen möglich.</w:t>
      </w:r>
    </w:p>
    <w:p>
      <w:r>
        <w:rPr>
          <w:b/>
        </w:rPr>
        <w:t>E. 4</w:t>
      </w:r>
    </w:p>
    <w:p>
      <w:r>
        <w:t>Mit Schreiben vom 7. April 2014 erhob der Vertreter des Pflichtigen Rekurs mit den Begehren, 1. Der Rekurs sei gutzuheissen und die Veranlagung für die Staats- und Gemeindesteuer 2011 sei zu rektifizieren. 2. Es sei die von der Genossenschaft C. ausgerichtete Dividende/Gewinnausschüttung von Fr. 10‘000.-- nur mit dem halben Steuersatz der übrigen steuerbaren Einkünfte zu besteuern (50% von 4.035973%). 3. Unter o/e-Kostenfolge. Zur Begründung führte er u.a. aus, die Genossenschaft C. verfüge unbestrittenermassen über kein Genossenschafts- bzw. Grundkapital und daraus folgend auch keine Anteilscheine. Nach rein grammatikalischer Auslegung der Steuerbestimmungen wären Genossenschaftsanteile Voraussetzung für die Anwendung einer privilegierten Besteuerung. Allerdings dürfe oder müsse vom Wortlaut einer Bestimmung abgewichen werden, wenn er nicht den wahren Sinn der gesetzlichen Bestimmung wiedergebe. Gemäss der Vorlage an den Landrat über die Unternehmenssteuerreform vom 13. Februar 2007 ziele § 34 Abs. 5 StG einzig auf die Beseitigung resp. Milderung der wirtschaftlichen Doppelbelastung bei Beteiligungsinhabern ab, die einen gewissen unternehmerischen Einfluss auf ihre Unternehmung hätten. Deshalb sei die Entlastung nur dann vorgesehen, wenn eine Beteiligungsquote von mindestens 10 % bestehe. Das Kriterium der Anteilscheine werde lediglich aus Beweiszwecken angeführt, um die Beteiligungsquote an der Genossenschaft eruieren zu können. Aus den Materialien sei nirgends zu entnehmen, dass die Genossenschaften ohne Grundkapital bewusst von der privilegierten Besteuerung ausgenommen werden sollten. lm vorliegenden Fall sei aus der Auflistung der Ausschüttungen an die Genossenschafter pro 2010 (im Jahre 2011) zu erkennen, dass an alle Beteiligten eine einheitliche Ausschüttung von Fr. 10‘000.-- ausgerichtet worden sei. Da die Genossenschaft C. 7 Beteiligte und jeder Genossenschafter dieselbe Summe erhalten habe, sei eine qualifizierte Beteiligung von 1/7 bzw. 14.29% eindeutig feststellbar. Es sei kein Grund ersichtlich, warum eine Genossenschaft, welche nicht über ein Grundkapital verfüge, anders zu behandeln sei, als eine Genossenschaft, welche ein Grundkapital habe. In beiden Fällen werde der Gewinn zuerst in der Genossenschaft und anschliessend bei der Ausschüttung erneut besteuert. Das Urteil des Kantons Waadt vom 5. August 2013 scheine zu verkennen, dass das gesetzliche Erfordernis des Grundkapitals und damit einhergehend der Anteilscheine als Voraussetzung für eine privilegierte Besteuerung keineswegs bedeute, dass deswegen ein Ausschluss von Genossenschaftern mit einem Anteil von mindestens 10% an der Genossenschaft gewollt sei.</w:t>
      </w:r>
    </w:p>
    <w:p>
      <w:r>
        <w:rPr>
          <w:b/>
        </w:rPr>
        <w:t>E. 5</w:t>
      </w:r>
    </w:p>
    <w:p>
      <w:r>
        <w:t>Mit Vernehmlassung vom 5. Mai 2014 beantragte die Steuerverwaltung die Abweisung des Rekurses. Zur Begründung verwies sie auf den Einsprache-Entscheid und führte ergänzend aus, die Liegenschaften der Genossenschaft C. würden sukzessive verkauft, wobei bis dato gemäss Handelsregister aber noch kein Zusatz «in Liquidation» ersichtlich sei. Die Genossenschaft C. sei eine Genossenschaft ohne Anteilscheine und verfüge damit nicht über ein Grundkapital. Aufgrund dieser Tatsache sei es konsequent, dass es keine Anteilsinhaber gebe, sondern nur Mitglieder, ähnlich einem Verein. Deswegen würden die jeweiligen Mitglieder (Genossenschafter) mangels Beteiligungspapieren auch keinerlei Vermögenswerte am Genossenschaftsvermögen versteuern. ln der Folge würden die steuerlichen Erleichterungen wie Halbsatzverfahren bzw. Teilbesteuerung nicht greifen. Diese gesetzlichen Bestimmungen würden das Vorhandensein von Anteilsscheinen gemäss Art. 853 OR voraussetzen und damit auch ein Genossenschaftskapital. Die Gesetzesbestimmungen im StG und DBG würden das Vorhandensein von Anteilscheinen als Beteiligungsrechte voraussetzen, weswegen auch die Veräusserung von Anteilscheinen im Geschäftsvermögen steuerlich gleich entlastet werde. Wo aber mangels Beteiligungsrechten (Anteilscheinen) nichts veräussert werden könne, greife auch die steuerliche Entlastung nicht. Dies habe in der Schlussfolgerung auch das Verwaltungsgericht des Kantons Waadt im erwähnten Entscheid vom 5. August 2013 so festgehalten. Zudem würden auch Praktikabilitätsgründe gegen eine solche steuerliche Entlastung sprechen. Wenn es an einem Genossenschafts-Grundkapital gänzlich fehle, so könne die Veranlagungsbehörde auch nicht feststellen, ob eine Mindest-Beteiligungsquote von 10% im Zeitpunkt der Ausschüttung tatsächlich vorhanden gewesen sei. Auch könnten die internen Beteiligungsquoten verschieden sein, d.h. ein Abstellen allein auf Köpfe sei nicht in allen Fällen sachgerecht.</w:t>
      </w:r>
    </w:p>
    <w:p>
      <w:r>
        <w:rPr>
          <w:b/>
        </w:rPr>
        <w:t>E. 6</w:t>
      </w:r>
    </w:p>
    <w:p>
      <w:r>
        <w:t>Aus dem bisher gesagten ergibt sich, dass der Wortlaut des Gesetzes die vorliegende Frage unbeantwortet lässt. Sowohl das Ergebnis der historischen als auch der teleologischen Auslegung zeigt aber, dass im Vordergrund der damaligen Gesetzesrevision im Rahmen der Unternehmenssteuerreform II sowohl auf Bundes- als auch auf kantonaler Ebene, klar die Milderung resp. Beseitigung der wirtschaftlichen Doppelbelastung von Dividendenzahlungen jeglicher Art (also auch von Liquidationsanteilen) gestanden hat. Diesem Punkt schenkt der oben zitierte Entscheid des Kantons Waadt weniger Beachtung und stützt sich überwiegend auf den „klaren“ Wortlaut. Hinsichtlich der systematischen Auslegung ist festzuhalten, dass sowohl der Bundes- als auch der kantonale Gesetzgeber selbst die privilegierenden Massnahmen als „Massnahme tariflicher Art“ bezeichnet haben, ist doch in § 34 Abs. 5 StG eine Reduktion des Steuersatzes auf die Hälfe vorgesehen. Ausgehend davon, dass der Gesetzgeber alle Fälle einer wirtschaftlichen Doppelbelastung mildern wollte, sind nach heutigem Rechtsverständnis und damit nach geltungszeitlicher Auslegung auch Erwerbsgenossenschaften unter § 34 Abs. 5 StG zu subsumieren. Denn im Ergebnis ist nicht einzusehen, aus welchen Gründen bei Genossenschaften eine Differenzierung nach einem allfällig vorhandenen Grundkapital vorgenommen werden soll, ist die Berechnung der einzelnen Anteile der jeweiligen Inhaber am Genossenschaftskapital auch ohne das Vorliegen von Anteilsscheinen „auf andere Weise“ möglich. Diesbezüglich ist selbstverständlich darauf hinzuweisen, dass eine prozentuale Aufteilung eruierbar sein und den einzelnen Genossenschaftern, wie in der nachfolgenden Erwägung 7 zu zeigen ist, auch zurechenbar sein muss, was in jedem einzelnen Fall eine gesonderte Beurteilung der Sachlage erfordert. Dass bisher die Besteuerung von Gesellschaftsanteilen von Genossenschaften ohne Grundkapital im Vermögen unterblieben ist, hat seinen Ursprung unter anderem auch im Gesetz, sind Genossenschaften aufgrund des Prinzips der offenen Tür nach Art. 828 Abs. 2 OR mit einem zum voraus festgesetzten Grundkapital unzulässig. Es ist somit festzustellen, dass es keinen Grund gibt die Beseitigung der wirtschaftlichen Doppelbelastung nicht auch auf Dividenden jeglicher Art bzw. auch Liquidationsanteilen zu erstrecken, die von Genossenschaften stammen, welche über kein Grund- oder Stammkapital verfügen. Der vorliegende Sachverhalt fällt somit unter § 34 Abs. 5 StG.</w:t>
      </w:r>
    </w:p>
    <w:p>
      <w:r>
        <w:rPr>
          <w:b/>
        </w:rPr>
        <w:t>E. 7</w:t>
      </w:r>
    </w:p>
    <w:p>
      <w:r>
        <w:t>Nachdem im Grundsatz die Anwendung von § 34 Abs. 5 StG auf den vorliegenden Sachverhalt zu bejahen ist, bleibt zu prüfen, ob die übrigen Voraussetzungen erfüllt sind. a) Im Hinblick auf die Ermittlung der Höhe der Beteiligung gibt die Steuerverwaltung zu bedenken, dass Praktikabilitätsgründe gegen eine steuerliche Entlastung sprechen würden, da mangels Genossenschafts-Grundkapital die Ermittlung einer Mindest-Beteiligungsquote von 10% im Zeitpunkt der Ausschüttung nicht möglich sei, wobei zudem die internen Quoten unterschiedlich sein könnten und das Abstellen allein auf Köpfe daher nicht in allen Fällen sachgerecht sei. Auch würden die Vermögenswerte nicht versteuert. Die gleiche Ansicht vertrete auch die Eidgenössische Steuerverwaltung. In ihrer Aktennotiz vom 14. Mai 2012 führte sie aus, dass bei Genossenschaften ohne Anteilsscheine keine Aussagen zur Kapitalbeteiligung an der Genossenschaft gemacht werden könnten. Die objektive Voraussetzung des Vorhandenseins eines Genossenschaftsanteils am Grund- oder Stammkapital sei nicht erfüllt und eine Teilbesteuerung im Sinne von Art. 18b resp. Art. 20 Abs. 1 bis DBG sei per se ausgeschlossen. b) Diesen Argumenten ist entgegen zu halten, dass es sich im vorliegenden Fall um eine Erwerbsgenossenschaft handelt, bei welcher der Liquidationserlös den Genossenschaftern nach Köpfen zu verteilen ist, und dass der Gesetzgeber im Zusammenhang mit dem Beteiligungsabzug die Ermittlung des Vermögensrechtlichen Anspruchs und somit der Mindestquote ausdrücklich auch auf andere Weise zulassen wollte (vgl. E. 4d). Vorliegend waren zum damals massgebenden Zeitpunkt an der Genossenschaft C. gemäss den von den Rekurrenten eingereichten Unterlagen im Jahre 2010 sieben Genossenschafter beteiligt. Im Weiteren geht aus diesen Unterlagen hervor, dass sämtliche Mitglieder den gleichen Betrag von je Fr. 10‘000.-- erhalten haben. Ausgehend davon ist demnach festzustellen, dass die Ermittlung der Höhe der Beteiligung des Pflichtigen an der Genossenschaft C. nach der Ausschüttung der Gewinne sowie der Anzahl Personen zu erfolgen hat. Zur Ermittlung der Quote werden daher 100% durch 7 Mitglieder geteilt, was einer prozentualen Beteiligung von je 14.29% pro Mitglied entspricht. Die vom Gesetz geforderte Mindestquote als Voraussetzung ist vorliegend demnach überschritten. c) Hinsichtlich der Aufnahme einer bislang nicht versteuerten Quote im Vermögen ist festzuhalten, dass falls die Privilegierung bei der Einkommenssteuer zugelassen wird dies konsequenterweise auch Auswirkungen auf die Feststellung der Vermögenssteuerwerte haben muss. Insofern ist wiederum der Anteil des Pflichtigen über die Höhe der ausgeschütteten Dividende zu ermitteln und ihm 14.29% am Wert der Genossenschaft, welcher gemäss Wegleitung zur Bewertung von Wertpapieren ohne Kurswert für die Vermögenssteuer, Kreisschreiben Nr. 28 der Schweizerischen Steuerkonferenz (SSK) vom 28. August 2008 zu ermitteln ist, im Vermögen aufzurechnen. Aus all den Gründen erweist sich der Rekurs im Hauptantrag als begründet und ist gutzuheissen. Es ist darauf hinzuweisen, dass der Rekurrent im Ergebnis aufgrund der Aufrechnung des Anteils am Genossenschaftskapital im Privatvermögen eine finanzielle Schlechterstellung hinsichtlich der Vermögenssteuer erfahren kann. Hierauf wurde der Vertreter anlässlich der Verhandlung ausdrücklich hingewiesen.</w:t>
      </w:r>
    </w:p>
    <w:p>
      <w:r>
        <w:rPr>
          <w:b/>
        </w:rPr>
        <w:t>E. 8</w:t>
      </w:r>
    </w:p>
    <w:p>
      <w:r>
        <w:t>a) Ausgangsgemäss sind dem Rekurrenten keine Verfahrenskosten aufzuerlegen (§ 130 StG i.V.m. § 20 des Gesetzes vom 16. Dezember 1993 über die Verfassungs- und Verwaltungsprozessordnung [VPO]). b) Nach § 130 StG i.V.m. § 21 Abs. 3 VPO kann bei Beschwerden in Steuersachen der ganz oder teilweise obsiegenden Partei für den Beizug eines Vertreters eine angemessene Parteientschädigung zulasten der Gegenpartei zugesprochen werden. Mit Honorarnote vom 25. September 2014 machte der Vertreter des Pflichtigen insgesamt für das Verfahren der Staatssteuer sowie der direkten Bundessteuer des Jahres 2011 eine Parteientschädigung in Höhe von Fr. 5‘678.10 geltend. Auf das vorliegende Verfahren der Staatssteuer entfällt daher die Hälfte der gesamten Parteientschädigung. Demzufolge ist dem Rekurrenten eine Parteientschädigung in Höhe von Fr. 2‘839.05 für das Verfahren der Staatssteuer 2011 zu Lasten des Staates resp. der Steuerverwaltung des Kantons Basel-Landschaft zuzusprechen.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