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470 20 175 vom 3. November 2020</w:t>
      </w:r>
    </w:p>
    <w:p>
      <w:r>
        <w:t>BL Gerichte, 2020-11-03, DE</w:t>
      </w:r>
    </w:p>
    <w:p>
      <w:r>
        <w:rPr>
          <w:b/>
        </w:rPr>
        <w:t xml:space="preserve">Quelle: </w:t>
      </w:r>
      <w:r>
        <w:t>https://mcp.opencaselaw.ch/entscheid/bl_gerichte_470_20_175</w:t>
      </w:r>
    </w:p>
    <w:p>
      <w:r>
        <w:t>FR: BL_GERICHTE 470 20 175 du 3 novembre 2020</w:t>
      </w:r>
    </w:p>
    <w:p>
      <w:r>
        <w:t>IT: BL_GERICHTE 470 20 175 del 3 novembre 2020</w:t>
      </w:r>
    </w:p>
    <w:p>
      <w:pPr>
        <w:pStyle w:val="Heading2"/>
      </w:pPr>
      <w:r>
        <w:t>Regeste</w:t>
      </w:r>
    </w:p>
    <w:p>
      <w:r>
        <w:t>Nichtanhandnahme des Verfahrens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Gemäss Art. 428 Abs. 1 StPO tragen die Parteien die Kosten des Rechtsmittelverfahrens nach Massgabe ihres Obsiegens oder Unterliegens. Entsprechend diesem Ausgang sind die Kosten des kantonsgerichtlichen Verfahrens von total Fr. 800.- (bestehend aus einer Gerichtsgebühr von Fr. 750.- und Auslagen von pauschal Fr. 50.-) dem unterliegenden Beschwerdeführer aufzuerlegen (§ 13 Abs. 1 i.V.m. § 3 Abs. 1 GebT, § 3 Abs. 6 GebT).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