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2022 176 vom 20. März 2023</w:t>
      </w:r>
    </w:p>
    <w:p>
      <w:r>
        <w:t>BL Gerichte, 2023-03-20, DE</w:t>
      </w:r>
    </w:p>
    <w:p>
      <w:r>
        <w:rPr>
          <w:b/>
        </w:rPr>
        <w:t xml:space="preserve">Quelle: </w:t>
      </w:r>
      <w:r>
        <w:t>https://mcp.opencaselaw.ch/entscheid/bl_gerichte_470_2022_176</w:t>
      </w:r>
    </w:p>
    <w:p>
      <w:r>
        <w:t>FR: BL_GERICHTE 470 2022 176 du 20 mars 2023</w:t>
      </w:r>
    </w:p>
    <w:p>
      <w:r>
        <w:t>IT: BL_GERICHTE 470 2022 176 del 20 marzo 2023</w:t>
      </w:r>
    </w:p>
    <w:p>
      <w:pPr>
        <w:pStyle w:val="Heading2"/>
      </w:pPr>
      <w:r>
        <w:t>Regeste</w:t>
      </w:r>
    </w:p>
    <w:p>
      <w:r>
        <w:t>Verfahrensanträge</w:t>
      </w:r>
    </w:p>
    <w:p>
      <w:pPr>
        <w:pStyle w:val="Heading2"/>
      </w:pPr>
      <w:r>
        <w:t>Erwägungen</w:t>
      </w:r>
    </w:p>
    <w:p>
      <w:r>
        <w:rPr>
          <w:b/>
        </w:rPr>
        <w:t>E. 2.1</w:t>
      </w:r>
    </w:p>
    <w:p>
      <w:r>
        <w:t>Die beschuldigte Person, die Privatklägerschaft und die anderen Verfahrensbeteiligten können zur Wahrung ihrer Interessen einen Rechtsbeistand bestellen (Art. 127 Abs. 1 StPO). Zur Verteidigung der beschuldigten Person sind nur Anwältinnen und Anwälte befugt, welche nach dem BGFA berechtigt sind, Parteien vor Gerichtsbehörden zu vertreten. Vorbehalten bleiben abweichende Bestimmungen der Kantone für die Verteidigung im Übertretungsstrafverfahren (Art. 127 Abs. 5 StPO). Die übrigen Parteien können jede handlungsfähige, gut beleumundete und vertrauenswürdige Person als Rechtsbeistand bestellen. Vorbehalten bleiben hier die Beschränkungen des Anwaltsrechts (Art. 127 Abs. 2 StPO). Zur berufsmässigen Vertretung vor den Gerichten des Kantons Basel-Landschaft ist nur befugt, wer im Anwaltsregister eingetragen ist. Als berufsmässig gilt die wiederkehrende Vertretung gegen Entgelt (§ 4 Abs. 1 und 2 AnwG). Die nicht berufsmässige Vertretung vor den Gerichten des Kantons Basel-Landschaft ist allen Personen erlaubt, die handlungsfähig sind, keine im Strafregisterauszug für Privatpersonen eingetragenen strafrechtlichen Verurteilungen aufweisen, die mit einer Vertretung vor den Gerichten nicht zu vereinbaren sind, und gegen die keine Verlustscheine bestehen (§ 3 Abs. 1 AnwG). Für die nicht berufsmässige Vertretung gelten die für die Anwältinnen und Anwälte anwendbaren Berufsregeln sinngemäss (§ 3 Abs. 3 AnwG). Im Interesse der vertretenen Person kann das Gericht im Einzelfall bei Unfähigkeit oder fehlender Vertrauenswürdigkeit die Vertretungsbefugnis entziehen (§ 3 Abs. 2 AnwG).</w:t>
      </w:r>
    </w:p>
    <w:p>
      <w:r>
        <w:rPr>
          <w:b/>
        </w:rPr>
        <w:t>E. 2.2</w:t>
      </w:r>
    </w:p>
    <w:p>
      <w:r>
        <w:t>Zunächst stellt sich die Frage, ob das Vorverfahren vor der Staatsanwaltschaft (Art. 299 ff. StPO) als ein gerichtliches Verfahren im Sinne der vorgenannten Regelungen zu qualifizieren ist. Gemäss Staehelin / Oetiker (in: Fellmann / Zindel , Kommentar zum Anwaltsgesetz, 2. A. Zürich 2011, Art. 4 N 10) gelten im Anwendungsbereich des BGFA auch die Staatsanwaltschaften, welche das Vorverfahren leiten, als gerichtliche Behörden. Diese Auffassung verdient Zustimmung, zumal die Staatsanwaltschaften im Rahmen des Strafbefehlsverfahrens (Art. 352 ff. StPO) gerichtsähnliche Funktionen wahrnehmen, ein Vorverfahren durch Anklageerhebung (Art. 325 ff. StPO) in ein Hauptverfahren vor dem Strafgericht (Art. 328 ff. StPO) übergehen kann und Verfahrenshandlungen der Staatsanwaltschaft ein Beschwerdeverfahren vor der Rechtsmittelinstanz als gerichtliche Behörde auslösen können (Art. 393 Abs. 1 lit. a StPO). Fänden die Regelungen des BGFA sowie des kantonalen Anwaltsrechts auf das Vorverfahren keine Anwendung, müsste eine nicht hinreichend qualifizierte Vertretung in einer Vielzahl von Fällen in einem späteren Verfahrensstadium das Mandat niederlegen, was mit einem Wissensverlust und Mehraufwand verbunden wäre, der nicht im Interesse der vertretenen Person liegt. Dies spricht dafür, das staatsanwaltschaftliche Vorverfahren in Bezug auf die Regelung der Parteivertretung dem gerichtlichen Verfahren gleichzustellen. Folglich muss die Vertretung der Privatklägerschaft bereits in diesem Verfahrensstadium den Anforderungen des BGFA sowie des AnwG genügen.</w:t>
      </w:r>
    </w:p>
    <w:p>
      <w:r>
        <w:rPr>
          <w:b/>
        </w:rPr>
        <w:t>E. 2.3</w:t>
      </w:r>
    </w:p>
    <w:p>
      <w:r>
        <w:t>Aus den vorstehenden Erwägungen folgt, dass B. nur dann als Vertreter der Privatklägerschaft zugelassen werden kann, wenn er nicht berufsmässig handelt und im Übrigen alle Voraussetzungen gemäss § 3 AnwG erfüllt. Laut bundesgerichtlicher Rechtsprechung kann es für die Auslegung des Begriffs der berufsmässigen Vertretung nicht entscheidend darauf ankommen, ob der Vertreter seine Tätigkeit gegen Entgelt oder zu Erwerbszwecken ausübt. Ein Schutzbedürfnis des Publikums besteht bereits dann, wenn der Vertreter beabsichtigt, in einer unbestimmten Vielzahl von Fällen tätig zu werden. Darauf kann geschlossen werden, wenn er bereit ist, die Vertretung ohne besondere Beziehungsnähe zum Vertretenen zu übernehmen. In solchen Fällen gründet das Vertrauen in den Vertreter nicht auf seiner Person oder seiner Nähe zum Vertretenen, sondern auf anderen Eigenschaften des Vertreters (z.B. seine behauptete Fachkompetenz, Mitgliedschaft in Interessenverbänden etc.) und damit auf ähnlichen Kriterien wie bei der Auswahl eines Berufsmanns bzw. einer Berufsfrau (BGE 140 III 555, E. 2.3). Vorliegend hat B. glaubhaft dargelegt, dass er den Privatkläger lediglich im Sinne einer einmaligen Ausnahme vor den Strafjustizbehörden vertritt und das Mandat auf eine persönliche Bekanntschaft zurückzuführen ist. Unter diesen Voraussetzungen ist die Vertretung im Sinne der vorstehend zitierten Rechtsprechung nicht als berufsmässig zu qualifizieren. Die Tatsache, dass B. eine vorgedruckte Vollmacht verwendet hat, worin er zur Vertretung als "Konsulent" in einem Strafverfahren ermächtigt wurde (vgl. Beilage 9 zur Beschwerde vom 14. November 2022), dass dieser ausserhalb des anwaltlichen Monopolbereichs unstreitig berufsmässig Personen vor Behörden vertritt, was auch mit einem professionellen Auftritt einhergeht, ist vorliegend nicht entscheidend. Allein daraus lässt sich nicht auf die Bereitschaft schliessen, eine Vertretung in Strafverfahren in unbestimmt vielen Fällen und ohne besondere Beziehungsnähe zu übernehmen.</w:t>
      </w:r>
    </w:p>
    <w:p>
      <w:r>
        <w:rPr>
          <w:b/>
        </w:rPr>
        <w:t>E. 2.4</w:t>
      </w:r>
    </w:p>
    <w:p>
      <w:r>
        <w:t>Nachdem feststeht, dass die Vertretung der Privatklägerschaft vorliegend nicht als berufsmässig zu qualifizieren ist, stellt sich die weitere Frage, ob besondere Gründe gegen die konkrete Ausübung des Mandates sprechen. Zunächst kann festgestellt werden, dass keine Anhaltspunkte dafür bestehen, B. würde den persönlichen Erfordernissen gemäss § 3 Abs. 1 AnwG nicht genügen. Mit Blick auf die sinngemäss anwendbaren anwaltlichen Standesregeln ist zu konstatieren, dass zwar die Wortwahl in den Eingaben von B. zum Teil die Grenzen des prozessualen Anstandes auslotet, die aufsichtsrechtlich relevante Grenze bislang jedoch nicht überschritten hat. Sodann ist der Hinweis auf den Inhalt von Vergleichsgesprächen mit Blick auf Art. 26 der Standesregeln des SAV durchaus als problematisch zu bewerten, doch erfolgten diese Ausführungen nicht ohne jegliche Veranlassung, zumal der Beschwerdeführer seinerseits den Vorwurf erhob, die Gegenseite habe sich vor Einleitung des Strafverfahrens nicht um eine gütliche Beilegung der Streitsache bemüht, wobei er in diesem Zusammenhang ein Schreiben des Beschuldigten vom 22. Juni 2022 einreichte (Beilage 5 zur Beschwerde vom 14. November 2022). Weiter kann festgestellt werden, dass sich aufgrund der persönlichen Beziehung von B. zu einem Mitglied des Strafgerichts Basel-Landschaft, welches zugleich in einer Aufsichtskommission über die Staatsanwaltschaft tätig ist, Interessenkonflikte nicht ausschliessen lassen. Sollten diese im Verlaufe des Verfahrens aktuell werden, so dass die Unabhängigkeit der Strafverfolgungsbehörden in Frage gestellt wäre, oder sollte sich B. im Rahmen seiner Tätigkeit als Vertreter der Privatklägerschaft nicht vollends an die anwaltlichen Standesregeln halten, hätte die Staatsanwaltschaft die Frage des Entzugs des Mandates sorgfältig zu prüfen. In diesem Zusammenhang ist der Begriff der "Vertrauenswürdigkeit" gemäss § 3 Abs. 2 AnwG weit auszulegen, zumal es auch nicht im Interesse der vertretenen Person liegt, wenn die Ausübung des Mandates keine Gewähr für eine unabhängige Strafuntersuchung oder die Einhaltung der Standesregeln bietet.</w:t>
      </w:r>
    </w:p>
    <w:p>
      <w:r>
        <w:rPr>
          <w:b/>
        </w:rPr>
        <w:t>E. 2.5</w:t>
      </w:r>
    </w:p>
    <w:p>
      <w:r>
        <w:t>Im Ergebnis bestehen aktuell keine Gründe, welche eine Vertretung der Privatklägerschaft durch B. ausschliessen. Die Beschwerde des Beschuldigten gegen die Verfügung der Staatsanwaltschaft vom 2. November 2022 erweist sich daher als unbegründet, weshalb sie abzuweisen ist. III. Kosten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