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18 319 vom 8. Januar 2019</w:t>
      </w:r>
    </w:p>
    <w:p>
      <w:r>
        <w:t>BL Gerichte, 2019-01-08, DE</w:t>
      </w:r>
    </w:p>
    <w:p>
      <w:r>
        <w:rPr>
          <w:b/>
        </w:rPr>
        <w:t xml:space="preserve">Quelle: </w:t>
      </w:r>
      <w:r>
        <w:t>https://mcp.opencaselaw.ch/entscheid/bl_gerichte_470_18_319</w:t>
      </w:r>
    </w:p>
    <w:p>
      <w:r>
        <w:t>FR: BL_GERICHTE 470 18 319 du 8 janvier 2019</w:t>
      </w:r>
    </w:p>
    <w:p>
      <w:r>
        <w:t>IT: BL_GERICHTE 470 18 319 del 8 gennaio 2019</w:t>
      </w:r>
    </w:p>
    <w:p>
      <w:pPr>
        <w:pStyle w:val="Heading2"/>
      </w:pPr>
      <w:r>
        <w:t>Regeste</w:t>
      </w:r>
    </w:p>
    <w:p>
      <w:r>
        <w:t>Zulassung als Privatklägerin</w:t>
      </w:r>
    </w:p>
    <w:p>
      <w:pPr>
        <w:pStyle w:val="Heading2"/>
      </w:pPr>
      <w:r>
        <w:t>Erwägungen</w:t>
      </w:r>
    </w:p>
    <w:p>
      <w:r>
        <w:rPr>
          <w:b/>
        </w:rPr>
        <w:t>E. 2</w:t>
      </w:r>
    </w:p>
    <w:p>
      <w:r>
        <w:t>Abschliessend bleibt über die Kosten- und Entschädigungsfolgen zu befinden.</w:t>
      </w:r>
    </w:p>
    <w:p>
      <w:r>
        <w:rPr>
          <w:b/>
        </w:rPr>
        <w:t>E. 2.1</w:t>
      </w:r>
    </w:p>
    <w:p>
      <w:r>
        <w:t>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Beschwerdeverfahrens von Fr. 1‘600.- (bestehend aus einer Beschlussgebühr von Fr. 1‘500.- und Auslagen von pauschal Fr. 100.-) dem unterliegenden Beschwerdeführer aufzuerlegen.</w:t>
      </w:r>
    </w:p>
    <w:p>
      <w:r>
        <w:rPr>
          <w:b/>
        </w:rPr>
        <w:t>E. 2.2</w:t>
      </w:r>
    </w:p>
    <w:p>
      <w:r>
        <w:t>Die obsiegende Beschwerdegegnerin 2 hat zudem gegenüber dem Beschwerdeführer einen Anspruch auf angemessene Entschädigung für ihre notwendigen Aufwendungen im Beschwerdeverfahren (Art. 433 Abs. 1 lit. a i.V.m. Art. 436 Abs. 1 StPO). Da die Rechtsvertretung der Beschwerdegegnerin 2 für das Beschwerdeverfahren keine Honorarnote eingereicht hat, ist aufgrund von § 18 Abs. 1 und 2 der Tarifordnung für die Anwältinnen und Anwälte vom 17. November 2003 (TO) die Entschädigung von Amtes wegen nach Ermessen festzusetzen (vgl. BStGer BB.2018.107-108 vom 21. September 2018 E. 6.2). Grundlage zur Bemessung der Entschädigung bilden § 2 Abs. 1, § 3 Abs. 1 und §§ 16 f. TO. Unter Berücksichtigung des Umfangs und der Schwierigkeiten des Falls ist die vom Beschwerdeführer an die Beschwerdegegnerin 2 für die notwendigen Rechtsaufwendungen im Beschwerdeverfahren zu bezahlende Entschädigung auf pauschal Fr. 2‘500.- (inkl. Auslagen) plus Mehrwertsteuer von 7.7% von Fr. 192.50, somit total Fr. 2‘692.50,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