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18 190 vom 24. Juli 2018</w:t>
      </w:r>
    </w:p>
    <w:p>
      <w:r>
        <w:t>BL Gerichte, 2018-07-24, DE</w:t>
      </w:r>
    </w:p>
    <w:p>
      <w:r>
        <w:rPr>
          <w:b/>
        </w:rPr>
        <w:t xml:space="preserve">Quelle: </w:t>
      </w:r>
      <w:r>
        <w:t>https://mcp.opencaselaw.ch/entscheid/bl_gerichte_470_18_190</w:t>
      </w:r>
    </w:p>
    <w:p>
      <w:r>
        <w:t>FR: BL_GERICHTE 470 18 190 du 24 juillet 2018</w:t>
      </w:r>
    </w:p>
    <w:p>
      <w:r>
        <w:t>IT: BL_GERICHTE 470 18 190 del 24 luglio 2018</w:t>
      </w:r>
    </w:p>
    <w:p>
      <w:pPr>
        <w:pStyle w:val="Heading2"/>
      </w:pPr>
      <w:r>
        <w:t>Regeste</w:t>
      </w:r>
    </w:p>
    <w:p>
      <w:r>
        <w:t>Nichtanhandnahme des Verfahrens</w:t>
      </w:r>
    </w:p>
    <w:p>
      <w:pPr>
        <w:pStyle w:val="Heading2"/>
      </w:pPr>
      <w:r>
        <w:t>Erwägungen</w:t>
      </w:r>
    </w:p>
    <w:p>
      <w:r>
        <w:rPr>
          <w:b/>
        </w:rPr>
        <w:t>E. 4</w:t>
      </w:r>
    </w:p>
    <w:p>
      <w:r>
        <w:t>Gemäss Art. 428 Abs. 1 StPO tragen die Parteien die Kosten des Rechtsmittelverfahrens nach Massgabe ihres Obsiegens oder Unterliegens. Als unterliegend gilt auch jene Partei, auf deren Rechtsmittel nicht eingetreten wird oder die das Rechtsmittel zurückzieht. Ausgangsgemäss gehen die ordentlichen Kosten des Beschwerdeverfahrens von total CHF 550.00, bestehend aus einer Gerichtsgebühr von CHF 500.00 sowie Auslagen von CHF 50.00, zulasten der unterliegenden Beschwerdeführerin (vgl. § 13 Abs. 1 der Verordnung über die Gebühren der Gerichte, GebT, SGS 170.31), welche zudem ihre Parteikosten selbst zu tragen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