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16 35 vom 29. März 2016</w:t>
      </w:r>
    </w:p>
    <w:p>
      <w:r>
        <w:t>BL Gerichte, 2016-03-29, DE</w:t>
      </w:r>
    </w:p>
    <w:p>
      <w:r>
        <w:rPr>
          <w:b/>
        </w:rPr>
        <w:t xml:space="preserve">Quelle: </w:t>
      </w:r>
      <w:r>
        <w:t>https://mcp.opencaselaw.ch/entscheid/bl_gerichte_470_16_35</w:t>
      </w:r>
    </w:p>
    <w:p>
      <w:r>
        <w:t>FR: BL_GERICHTE 470 16 35 du 29 mars 2016</w:t>
      </w:r>
    </w:p>
    <w:p>
      <w:r>
        <w:t>IT: BL_GERICHTE 470 16 35 del 29 marzo 2016</w:t>
      </w:r>
    </w:p>
    <w:p>
      <w:pPr>
        <w:pStyle w:val="Heading2"/>
      </w:pPr>
      <w:r>
        <w:t>Regeste</w:t>
      </w:r>
    </w:p>
    <w:p>
      <w:r>
        <w:t>Strafprozessrecht Haftentlassung unter Auflage von Ersatzmassnahmen</w:t>
      </w:r>
    </w:p>
    <w:p>
      <w:pPr>
        <w:pStyle w:val="Heading2"/>
      </w:pPr>
      <w:r>
        <w:t>Erwägungen</w:t>
      </w:r>
    </w:p>
    <w:p>
      <w:r>
        <w:rPr>
          <w:b/>
        </w:rPr>
        <w:t>E. 4</w:t>
      </w:r>
    </w:p>
    <w:p>
      <w:r>
        <w:t>Gemäss Art. 428 Abs. 1 StPO tragen die Parteien die Kosten des Rechtsmittelverfahrens nach Massgabe ihres Obsiegens oder Unterliegens. Entsprechend dem Ausgang des vorliegenden Verfahrens, mithin der vollumfänglichen Gutheissung der Beschwerde, werden die Verfahrenskosten des Kantonsgerichts in der Höhe von CHF 1ꞌ050.00, bestehend aus einer Gerichtsgebühr von CHF 1ꞌ000.00 (§ 13 Abs. 1 der Verordnung über die Gebühren der Gerichte, GebT, SGS 170.31) sowie Auslagen von CHF 50.00, dem Staat auferlegt. Dem Rechtsvertreter des Beschwerdeführers, Advokat Alain Joset, wird ein Honorar von CHF 1ꞌ300.00 (inklusive Auslagen) zuzüglich 8% Mehrwertsteuer von CHF 104.00, insgesamt somit CHF 1ꞌ404.00, aus der Gerichtskasse entrichtet.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