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460 2020 288 vom 14. Oktober 2020</w:t>
      </w:r>
    </w:p>
    <w:p>
      <w:r>
        <w:t>BL Gerichte, 2020-10-14, DE</w:t>
      </w:r>
    </w:p>
    <w:p>
      <w:r>
        <w:rPr>
          <w:b/>
        </w:rPr>
        <w:t xml:space="preserve">Quelle: </w:t>
      </w:r>
      <w:r>
        <w:t>https://mcp.opencaselaw.ch/entscheid/bl_gerichte_460_2020_288</w:t>
      </w:r>
    </w:p>
    <w:p>
      <w:r>
        <w:t>FR: BL_GERICHTE 460 2020 288 du 14 octobre 2020</w:t>
      </w:r>
    </w:p>
    <w:p>
      <w:r>
        <w:t>IT: BL_GERICHTE 460 2020 288 del 14 ottobre 2020</w:t>
      </w:r>
    </w:p>
    <w:p>
      <w:pPr>
        <w:pStyle w:val="Heading2"/>
      </w:pPr>
      <w:r>
        <w:t>Regeste</w:t>
      </w:r>
    </w:p>
    <w:p>
      <w:r>
        <w:t>Mehrfache Pornografie etc.</w:t>
      </w:r>
    </w:p>
    <w:p>
      <w:pPr>
        <w:pStyle w:val="Heading2"/>
      </w:pPr>
      <w:r>
        <w:t>Erwägungen</w:t>
      </w:r>
    </w:p>
    <w:p>
      <w:r>
        <w:rPr>
          <w:b/>
        </w:rPr>
        <w:t>E. 1</w:t>
      </w:r>
    </w:p>
    <w:p>
      <w:r>
        <w:t>Im Berufungsverfahren gilt die Dispositionsmaxime (BGE 147 IV 93 E. 1.5.2). Die Berufung kann beschränkt werden. Wer nur Teile des Urteils anficht, hat in der Berufungserklärung gemäss Art. 399 Abs. 4 StPO verbindlich anzugeben, auf welche Teile sich die Berufung beschränkt (vgl. Art. 399 Abs. 3 lit. a und Abs. 4 StPO). Erfolgt eine Teilanfechtung, erwächst das Urteil hinsichtlich der nicht angefochtenen Punkte in Rechtskraft ( Schmid / Jositsch , Praxiskommentar StPO, 3. Aufl. 2018, Art. 402 N 1).</w:t>
      </w:r>
    </w:p>
    <w:p>
      <w:r>
        <w:rPr>
          <w:b/>
        </w:rPr>
        <w:t>E. 1.1</w:t>
      </w:r>
    </w:p>
    <w:p>
      <w:r>
        <w:t>Im Bereich bis zu 180 Strafeinheiten hat die Geldstrafe gegenüber Freiheitsstrafen grundsätzlich Vorrang ( BGE 147 IV 241 E. 4.3.2; 144 IV 217 E. 3.3.3 und E. 3.6). Gemäss Art. 41 Abs. 1 StGB kann eine Freiheitsstrafe ausgesprochen werden, wenn eine solche geboten erscheint, um den Täter von der Begehung weiterer Verbrechen oder Vergehen abzuhalten (lit. a) oder eine Geldstrafe voraussichtlich nicht vollzogen werden kann (lit. b). Eine Freiheitsstrafe ist nach Art. 41 Abs. 1 lit. a StGB anzuordnen, wenn sich aufgrund des Vor-lebens, des Verhaltens oder der Äusserungen der beschuldigten Per son im Verfahren herausstellt, dass eine Geldstrafe nicht ausreicht, um sie von einer erneuten Verübung einer Straftat abzuhalten ( Kuhn / Vuille , Commentaire romand CP, 2. Aufl. 2021, Art. 41 N 5; Heimgartner , in: Donatsch [Hrsg.], Kommentar Schweizerisches Strafgesetzbuch, 20. Aufl. 2018, Art. 41 N 2a). Eine Freiheitsstrafe ist gemäss Art. 41 Abs. 1 lit. b StGB auszusprechen, wenn eine Geldstrafe voraussichtlich nicht vollzogen werden kann. Eine solche negative Vollstreckungsprognose ist nur mit Zurückhaltung anzunehmen ( Mazzucchelli , Basler Kommentar StGB, 4. Aufl. 2019, Art.41 N 43). Das Fehlen eines den Notbedarf überschiessenden Betrages macht die Vollstreckungsprognose nicht unbedingt negativ. Auch bei Mittellosigkeit darf die Vollziehbarkeit einer Geldstrafe nicht ohne Weiteres als unwahrscheinlich gelten. Die Geldstrafe steht nämlich auch für Mittellose zur Verfügung (BGE 134 IV 60; OGer ZH SB190527 vom 10. Februar 2021 E. 4.2.6.6).</w:t>
      </w:r>
    </w:p>
    <w:p>
      <w:r>
        <w:rPr>
          <w:b/>
        </w:rPr>
        <w:t>E. 1.2</w:t>
      </w:r>
    </w:p>
    <w:p>
      <w:r>
        <w:t>Die vom Gesetzgeber gewünschte restriktive Anwendung der kurzen F reiheitsstrafe wird durch erhöhte Begründungspflichten gemäss Art. 41 Abs. 2 StGB abgesichert. Nach der genannten Bestimmung hat nämlich das Gericht die Wahl der Freiheitsstrafe näher zu begründen. Dabei hat es klar darzulegen, dass und weshalb eine Geldstrafe nicht ausreichend und/oder nicht vollstreckbar ist (BGer 6B_938/2019 vom 18. November 2019 E. 3.4.2; Wohlers , Handkommentar StGB, 4. Aufl. 2020, Art. 41 N 5; Mazzucchelli , a.a.O., Art. 41 N 52). Die erhöhten Begründungsanforderungenwerden verletzt, wenn die Unvollziehbarkeit der Geldstrafedirekt von der Erwerbs-oder Mittellosigkeit des Verurteilten geschlossen wird oder eine kurze unbedingte Freiheitsstrafe bloss mit einer ungenügenden Abschreckungswirkung der (bedingten) Geldstrafe begründet wird, ohne sich über die Vollstreckungsprognose der Alternativsanktion zu äussern ( Mazzucchelli , a.a.O., Art. 41 N 53).</w:t>
      </w:r>
    </w:p>
    <w:p>
      <w:r>
        <w:rPr>
          <w:b/>
        </w:rPr>
        <w:t>E. 2</w:t>
      </w:r>
    </w:p>
    <w:p>
      <w:r>
        <w:t>Die Vorinstanz führt im angefochtenen Urteil zur Begründung der Wahl der Strafart einzig aus, da der Beschuldigte von staatlicher Unterstützung lebe und erhebliche Schulden aufweise, erscheine eine Geldstrafe aus spezialpräventiver Sicht nicht sinnvoll, weshalb eine Freiheitstrafe auszusprechen sei. Damit legt sie nicht näher dar, aus welchen Gründen die Voraussetzungen für die Anordnung einer Freiheitstrafe erfüllt sein sollten. So zeigt sie insbesondere nicht konkret und nachvollziehbar auf, weshalb vorliegend eine spezialpräventive Wirkung einer Geldstrafe ausgeschlossen sein sollte. Auch legt die Vorinstanz nicht dar, gestützt auf welche Rechtsnorm sie sich für eine Freiheitsstrafe entschieden hat. Damit entspricht sie den erhöhten Begründungsanforderungen gemäss Art. 41 Abs. 2 StGB nicht. Diese Verletzung der Begründungspflicht kann im vorliegenden Berufungsverfahren geheilt werden, da das Kantonsgericht über volle Kognition verfügt (Art. 398 Abs. 2 StPO; BGer 6B_687/2020 vom 21. Januar 2021 E. 2).</w:t>
      </w:r>
    </w:p>
    <w:p>
      <w:r>
        <w:rPr>
          <w:b/>
        </w:rPr>
        <w:t>E. 2.1</w:t>
      </w:r>
    </w:p>
    <w:p>
      <w:r>
        <w:t>Der heute 28-jährige Beschuldigte wurde in der Dominikanischen Republik geboren. Mit 10 Jahren zog er in die Schweiz. Hierzulande besuchte er die obligatorische Schule. In der Folge begann er eine Lehre, welche er indes bereits nach 3 Monaten abbrach. Danach arbeitete er jeweils nur kurzzeitig (act. 3 ff., S63 ff., Prot. KG S. 2). Seit dem 1. September 2011 erhält der Beschuldigte eine ganze IV-Rente und seit dem 16. November 2020 ist er im Umfang eines 50 -Prozent-Pensums in einer geschützten Werkstatt tätig. Der Beschuldigte beherrscht die deutsche Sprache in einem für den Alltagsgebrauch durchaus ausreichenden Masse. Gemäss dem Auszug aus dem Betreibungsregister vom 14. September 2018 hat er Verlustscheine im Umfang von insgesamt rund Fr. 34'000.− (act. 17). In der Zwischenzeit sind weitere Schulden dazugekommen (Prot. KG S. 5). Die finanziellen Verhältnisse des Beschuldigten sind somit angespannt . Nachdem er zwischenzeitlich mit zwei Partnerinnen in einer Beziehung gewesen war, lebt der Beschuldigte wieder allein bei seiner Mutter und seinem Stiefvater in B. (Prot. KG S. 5). In E. ist überdies seine jüngere Schwester wohnhaft, mit welcher er regelmässig Kontakt haben will (act. S65). Seine letzte Partnerin zog nach der im vorliegenden Verfahren durchgeführten Hausdurchsuchung zusammen mit den 3 gemeinsamen Kindern zu ihren Eltern nach D. /Deutschland. Seit 3 Jahren hat der Beschuldigte keinen Kontakt zu ihr und hat seither seine Kinder auch nicht mehr gesehen. Zu seinem ersten hierzulande lebenden Kind aus einer früheren Beziehung pflegt der Beschuldigte ebenfalls keinen Kontakt (act. S63, Prot. KG S. 3). Demnach unterhält der Beschuldigte weder Kontakt zur Kernfamilie in der Schweiz noch jener in Deutschland. Auch sind keinerlei konkrete Anzeichen ersichtlich, dass der Beschuldigte in absehbarer Zukunft seine Kinder besuchen wird bzw. besuchen will. Im Übrigen könnte er den Kontakt mit seinen Kindern auch mit modernen Kommunikationsmitteln von der Dominikanischen Republik her wahrnehmen. Der Beschuldigte hält sich am liebsten zu Hause auf und pflegt – auch gemäss eigenen Angaben –kaum Freundschaften in der Schweiz (Prot. KG S. 3). Vor diesem Hintergrund ist von einer unterdurchschnittlichen sozialen und beruflichen Einbettung und Integration in der Schweiz auszugehen.</w:t>
      </w:r>
    </w:p>
    <w:p>
      <w:r>
        <w:rPr>
          <w:b/>
        </w:rPr>
        <w:t>E. 2.2</w:t>
      </w:r>
    </w:p>
    <w:p>
      <w:r>
        <w:t>Der Beschuldigte hat seine ersten 10 Jahre in der Dominikanischen Republik verbracht. Seine Muttersprache ist Spanisch. In seinem Heimatland leben drei seiner Geschwister, sein Vater und seine Grossmutter. Der Beschuldigte besucht regelmässig Verwandte in seinem Heimatland (act. 7). Letztmals reiste der Beschuldigte für die Weihnachtsfeier des Jahres 2020 in die Dominikanische Republik und kehrte erst nach rund 2 Monaten wieder in die Schweiz zurück (Prot. KG S. 5). Im Vorverfahren gab der Beschuldigte noch an, zu seinen Verwandten in der Dominikanischen Republik, namentlich zu seiner Grossmutter sowie seinem Bruder und seiner älteren Schwester, einen guten Kontakt zu pflegen (act. 3 ff.). Anlässlich der erstinstanzlichen Hauptverhandlung gab er jedoch an, als er in der Dominikanischen Republik in den Ferien geweilt habe, sei es zu einem Konflikt mit seinem Bruder und seiner Schwester gekommen. Aus diesem Grund wolle er den Kontakt zu seinen Familienangehörigen in der Dominikanischen Republik vermeiden (act. S71). Vor den Schranken des Kantonsgerichts sagte er aus, der letzte Besuch in der Dominikanischen Republik sei schlecht verlaufen und alle seien auf ihn losgegangen (Prot. KG S. 5). Es ist augenfällig, dass der Beschuldigte den Kontakt zu seiner Verwandtschaft in seinem Heimatstaat im Rahmen der gerichtlichen Verfahren plötzlich als konfliktbelastet darstellt, wohingegen er diese zuvor noch als gut bezeichnete. Dies vermag vor der nunmehr zu beurteilenden Frage, ob eine Wiedereingliederung in seinem Heimatstaat möglich ist, nicht zu erstaunen. Die betreffenden Depositionen des Beschuldigten anlässlich der erst- und zweitinstanzlichen Hauptverhandlung sind karg, detailarm und pauschal, was für sich allein bereits erhebliche Zweifel an ihrer Glaubhaftigkeit begründet. Zudem ist zu beachten, dass der Beschuldigte im Dezember 2020 für die Weihnachtsfeier mit seinen Verwandten in die Dominikanische Republik reiste. Dies steht in einem klaren Widerspruch zu der vom Beschuldigten anlässlich der erstinstanzlichen Hauptverhandlung vom 14. Oktober 2020 gemachten Deposition, wonach er wegen eines Konflikts den Kontakt zu seinen Verwandten in seinem Heimatstaat vermeiden wolle. Somit ersch einen die Aussagen des Beschuldigten betreffend den Konflikt mit seinen Verwandten in der Dominikanischen Republik als bloss vorgeschoben und folglich als nicht glaubhaft. Demnach kann nicht davon ausgegangen werden, dass der Beschuldigte mit seinen Verwandten in seinem Heimatland erheblich zerstritten ist. Im Weiteren ist zu berücksichtigen, dass die Mutter des Beschuldigten in der Dominikanischen Republik über eine Wohnung verfügt, in welcher der Beschuldigte während seines letzten rund 2-monatigen Aufenthalts logierte. In Bezug auf seine Perspektiven im Falle einer Rückkehr in sein Heimatland erklärt der Beschuldigte, dank seiner Deutschkenntnisse könnte er dort gegebenenfalls in einem Hotel arbeiten (Prot. KG S. 5). Somit bestehen durchaus gute Chancen für eine berufliche Integration des Beschuldigten in der Dominikanischen Republik. Überdies verfügt der Beschuldigte dort auch über ein verwandtschaftliches Beziehungsnetz. Die Wiedereingliederungsmöglichkeit im Heimatstaat kann folglich als intakt angesehen werden. Ferner vermag der Beschuldigte auch aus seinem Gesundheitszustand bzw. seinen psychischen Beschwerden nichts abzuleiten, das gegen eine Landesverweisung sprechen würde. So hinderten diese Beschwerden den Beschuldigten in der Vergangenheit keine swegs daran, regelmässig in sein Heimatland zu reisen. Ausserdem bestehen keine Anhaltspunkte dafür, dass sich sein Leiden in der Dominikanischen Republik nicht angemessen behandelnlassen könnte. Nicht nachvollziehbar ist übrigens das Vorbringen, der Beschuldigte sei [als Kind] in der Dominikanischen Republik Opfer sexueller Übergriffe geworden. Selbst wenn dies zutreffen sollte, wäre nicht ersichtlich, weshalb ihm bei einer Rückkehr in sein Heimatland gegenwärtig eine ernsthafte Gefahr eines sexuellen Missbrauchs drohen sollte.</w:t>
      </w:r>
    </w:p>
    <w:p>
      <w:r>
        <w:rPr>
          <w:b/>
        </w:rPr>
        <w:t>E. 2.3</w:t>
      </w:r>
    </w:p>
    <w:p>
      <w:r>
        <w:t>Gesamthaft ist festzustellen, dass kein schwerer persönlicher Härtefall im Sinne von Art. 66a Abs. 2 StGB gegeben ist. Die insgesamt lange Dauer des Aufenthalts des Beschuldigten in der Schweiz steht im starken Kontrast zur klar unterdurchschnittlichen Integration des Beschuldigten in die hiesige Gesellschaft. Im Falle der Landesverweisung wäre es ihm auch möglich, in der Dominikanischen Republik wieder Fuss zu fassen. Unter Berücksichtigung sämtlicher relevanter Aspekte ist es dem Beschuldigten ohne Weiteres zuzumuten, die Schweiz zu verlassen. Ein schwerer persönlicher Härtefall liegt folglich nicht vor. Entsprechend ist eine Landesverweisung im Sinne von Art. 66a Abs. 1 lit. h StGB anzuordnen. D. Dauer Für die obligatorische Landesverweisung ist eine Mindestdauer von 5 Jahren und – vorbehältlich Art. 66b Abs. 1 StGB – eine Maximaldauer von 15 Jahren vorgesehen (Art. 66a Abs. 1 StGB). Die von der Vorinstanz ausgesprochene Dauer von 5 Jahren Landesverweisung erweist sich als angemessen. Es kann auf die zutreffende Begründung im erstinstanzlichen Urteil verwiesen werden (Urteil des Präsidenten des Strafgerichts vom 14. Oktober 2020 E. III/3; Art. 82 Abs. 4 StPO). Der Beschuldigte ist somit für 5 Jahre des Landes zu verweisen. V. Kosten und Entschädigung (…)</w:t>
      </w:r>
    </w:p>
    <w:p>
      <w:r>
        <w:rPr>
          <w:b/>
        </w:rPr>
        <w:t>E. 3</w:t>
      </w:r>
    </w:p>
    <w:p>
      <w:r>
        <w:t>Das durch Art. 13 f. BV bzw. Art. 8 EMRK geschützte Recht auf Achtung des Privat - und Familienlebens ist berührt, wenn eine staatliche Entfernungs- oder Fernhaltemassnahme eine nahe, echte und tatsächlich gelebte familiäre Beziehung einer in der Schweiz gefestigt anwesenheitsberechtigten Person beeinträchtigt, ohne dass es dieser ohne Weiteres möglich bzw. zumutbar wäre, ihr Familienleben andernorts zu pflegen (BGE 144 I 266 E. 3.3; 144 II 1 E. 6.1). Unter dem Gesichtswinkel des Schutzes des Anspruchs auf Familienleben genügt es nach den Umständen, dass der Kontakt zum Kind im Rahmen von Kurzaufenthalten, Ferienbesuchen oder über die modernen Kommunikationsmittel vom Ausland her wahrgenommen werden kann (BGE 143 I 21 E. 5.3). Zum geschützten Familienkreis gehört in erster Linie die Kernfamilie, d.h. die Gemeinschaft der Ehegatten mit ihren minderjährigen Kindern (BGE 145 I 227 E. 3.1; BGer 6B_69/2021 vom 30. Juni 2021 E. 3.4). C. Härtefallprüfung 1. Der Beschuldigte ist Staatsangehöriger der Dominikanischen Republik. Er ist somit Ausländer im Sinne von Art. 66a Abs. 1 StGB. Zudem wurde er wegen Pornografie im Sinne von Art. 197 Abs. 4 Satz 2 StGB rechtskräftig verurteilt. Dabei handelt es sich um ein Katalogdelikt (Art. 66a Abs. 1 lit. h StGB), was im Regelfall die obligatorische Landesverweisung nach sich zieht. Nachfolgend gilt es zu prüfen, ob beim Beschuldigten allenfalls ein Härtefall gegeben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