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15 139 vom 16. November 2016</w:t>
      </w:r>
    </w:p>
    <w:p>
      <w:r>
        <w:t>BL Gerichte, 2016-11-16, DE</w:t>
      </w:r>
    </w:p>
    <w:p>
      <w:r>
        <w:rPr>
          <w:b/>
        </w:rPr>
        <w:t xml:space="preserve">Quelle: </w:t>
      </w:r>
      <w:r>
        <w:t>https://mcp.opencaselaw.ch/entscheid/bl_gerichte_460_15_139</w:t>
      </w:r>
    </w:p>
    <w:p>
      <w:r>
        <w:t>FR: BL_GERICHTE 460 15 139 du 16 novembre 2016</w:t>
      </w:r>
    </w:p>
    <w:p>
      <w:r>
        <w:t>IT: BL_GERICHTE 460 15 139 del 16 novembre 2016</w:t>
      </w:r>
    </w:p>
    <w:p>
      <w:pPr>
        <w:pStyle w:val="Heading2"/>
      </w:pPr>
      <w:r>
        <w:t>Regeste</w:t>
      </w:r>
    </w:p>
    <w:p>
      <w:r>
        <w:t>Mehrfacher Verstoss gegen das Bundesgesetz gegen den unlauteren Wettbewerb, etc.</w:t>
      </w:r>
    </w:p>
    <w:p>
      <w:pPr>
        <w:pStyle w:val="Heading2"/>
      </w:pPr>
      <w:r>
        <w:t>Erwägungen</w:t>
      </w:r>
    </w:p>
    <w:p>
      <w:r>
        <w:rPr>
          <w:b/>
        </w:rPr>
        <w:t>E. 1</w:t>
      </w:r>
    </w:p>
    <w:p>
      <w:r>
        <w:t>Die Staatsanwaltschaft macht zusammenfassend geltend, Kundenlisten und Datensammlungen hätten als Arbeitsergebnis zu gelten, sofern sie sich zur Verwertung eigneten. Die Kundendatei der Privatklägerin mit der Auflistung von Firmen, welche genau auch die von der D._____ GmbH angebotenen Produkte kauften, enthalte Informationen, welche eine Konkurrenzfirma nicht ohne grossen Aufwand erhalten könne. Da die Kundendatei demnach ein Geschäftsgeheimnis beinhalte und ihr ein bedeutender immaterieller Wert zukomme, stelle sie ein Arbeitsergebnis dar. Auch die Artikel- und Kundenumsatzliste bildeten ein Arbeitsergebnis. Durch die unbefugte Verwendung der ihnen anvertrauten Kundendatei sowie Kunden- und Artikelumsatzliste hätten die Beschuldigten unlauter gehandelt und damit mehrfach gegen das Bundesgesetz gegen den unlauteren Wettbewerb verstossen.</w:t>
      </w:r>
    </w:p>
    <w:p>
      <w:r>
        <w:rPr>
          <w:b/>
        </w:rPr>
        <w:t>E. 1.1</w:t>
      </w:r>
    </w:p>
    <w:p>
      <w:r>
        <w:t>Die Vizepräsidentin des Strafgerichts sprach der Privatklägerin für den Beizug eines Rechtsanwalts eine Entschädigung von Fr. 5‘000.-- zulasten der Staatskasse zu. Zur Begründung führte sie zusammenfassend aus, die Staatsanwaltschaft habe die Last zur Beweiserhebung in erheblichem und inakzeptablem Ausmass der Privatklägerin überbürdet. Die Staatsanwaltschaft habe die Strafuntersuchung damit partiell "outgescourct". Dieses Vorgehen der Staatsanwaltschaft komme einem eklatanten Verstoss gegen strafprozessuale Grundsätze gleich. Die Staatsanwaltschaft habe der Privatklägerin dadurch einen unnötigen Mehraufwand verursacht. Gestützt auf den Grundsatz der Billigkeit sei deshalb der Privatklägerin eine Entschädigung von Fr. 5‘000.-- aus der Staatskasse zuzusprechen.</w:t>
      </w:r>
    </w:p>
    <w:p>
      <w:r>
        <w:rPr>
          <w:b/>
        </w:rPr>
        <w:t>E. 1.2</w:t>
      </w:r>
    </w:p>
    <w:p>
      <w:r>
        <w:t>Die Staatsanwaltschaft wendet dagegen insbesondere ein, es könne keine Rede davon sein, dass sie die Beweiserhebung auf die Privatklägerin überwälzt habe. Der Grundsatz der Billigkeit könne deshalb für die Ausrichtung einer Entschädigung von Fr. 5‘000.-- zulasten des Staats nicht angerufen werden. Auch eine Rechtsgrundlage für die Kostenauferlegung des Staats bestehe nicht. 2. Nach dem Grundsatz der Gesetzmässigkeit bedarf jedes staatliche Handeln einer gesetzlichen Grundlage (Art. 5 Abs. 1 BV). Inhaltlich gebietet das Gesetzmässigkeitsprinzip, dass staatliches Handeln insbesondere auf einem Rechtssatz von genügender Normstufe und genügender Bestimmtheit zu beruhen hat (BVGer. A-142/2013 vom 27. Mai 2013 E. 2.1). Die gesetzlichen Grundlagen für die Ausrichtung von Entschädigungen im Strafverfahren finden sich in Art. 416 - 436 StPO. Diese Gesetzvorschriften regeln die Entschädigungspflichten abschliessend ( Schmid , Handkommentar StPO, 2. Aufl. 2013, Vor Art. 413-436 N 1). Eine Rechtsgrundlage für die Zusprechung einer Entschädigung an einen Privatkläger aus der Staatskasse ist in diesen Gesetzesartikeln nicht enthalten. Infolgedessen ergibt sich, dass für die von der Vizepräsidentin des Strafgerichts der Privatklägerin zulasten der Staatskasse zugesprochene Entschädigung von Fr. 5‘000.-- keine gesetzliche Grundlage vorhanden war. Das angefochtene Urteil ist deshalb insoweit aufzuheben, als der Privatklägerin eine Entschädigung von Fr. 5‘000.-- aus der Staatskasse zugesprochen wurde. Mithin kann offenbleiben, ob die Staatsanwaltschaft der Privatklägerin im Rahmen der Strafuntersuchung in einem unzulässigen Umfang Aufgaben übertragen hat. Im Übrigen sei angemerkt, dass der Beizug eines Rechtsvertreters durch eine obsiegende Privatklägerschaft nicht gemeinhin zu Mehrkosten für den Beschuldigten führt. Trägt dieser Rechtsvertreter nämlich wesentlich zur Verurteilung der beschuldigten Person oder zur Gutheissung der Zivilforderung bei, hat zwar die Letztere die dabei notwendigerweise angefallenen Anwaltskosten zu tragen; indessen ist zu beachten, dass sich gleichzeitig die entsprechenden staatlichen Untersuchungs- und Gerichtskosten reduzieren (vgl. Wehrenberg/Frank , Basler Kommentar StPO, 3. Aufl. 2014, Art. 433 N 19). (…)</w:t>
      </w:r>
    </w:p>
    <w:p>
      <w:r>
        <w:rPr>
          <w:b/>
        </w:rPr>
        <w:t>E. 2</w:t>
      </w:r>
    </w:p>
    <w:p>
      <w:r>
        <w:t>Ein Arbeitsergebnis ist das in einer materiellen Form festgehaltene Resultat einer gewissen geistigen oder materiellen Anstrengung, zum Beispiel ein individualisiertes Objekt (gewerbliche Gebrauchsgegenstände, Produkte, Apparate, Projekte, Pläne), aber auch dokumentarisch festgelegtes Know-how oder zweckdienlich gespeicherte Computerprogramme ( Guyet , in: von Büren/David, Schweizerisches Immaterialgüter- und Wettbewerbsrecht, 2. Aufl. 1998, S. 212 f.; BGer. 6B_672/2012 vom 19. März 2013 E. 1.1; Botschaft zu einem Bundesgesetz gegen den unlauteren Wettbewerb vom 18. Mai 1983, in: BBl. 1983 II S. 1069). Die Aufzählung der Arbeitsergebnisse in Art. 5 lit. a UWG ist nicht abschliessend. Arbeitsergebnisse sind beispielsweise auch Kundenlisten und Datensammlungen, sofern sie sich zur Verwertung eignen. Entgegen der Auffassung der Vizepräsidentin des Strafgerichts bedarf eine Sache nicht einer besonderen schöpferischen Leistung ("schöpferische Flughöhe") um als Arbeitsergebnis zu gelten. Art. 5 lit. a UWG bezweckt nämlich einzig zu verhindern, dass jemand durch die Übernahme fremder Leistungen auf unlautere Art und Weise einen Wettbewerbsvorteil (Kosteneinsparung) erlangt. Somit steht der Umstand, dass auch ein Dritter eine Kundenliste oder eine Datensammlung mit entsprechendem Aufwand hätte erbringen können, deren Qualifikation als Arbeitsergebnis nicht entgegen (BGer. 4C.399/1998 vom 18. März 1999 E. 2g, in: sic! 1999 S. 300 ff.).</w:t>
      </w:r>
    </w:p>
    <w:p>
      <w:r>
        <w:rPr>
          <w:b/>
        </w:rPr>
        <w:t>E. 3</w:t>
      </w:r>
    </w:p>
    <w:p>
      <w:r>
        <w:t>Als anvertraut im Sinn von Art. 5 lit. a UWG gilt ein Arbeitsergebnis, wenn es in gegenseitiger Übereinstimmung vom berechtigten Erzeuger in den Besitz des Täters gelangt sowie aufgrund einer vertraglichen Vereinbarung oder der Umstände erwarten durfte, dass das Arbeitsergebnis nicht ausserhalb des Zwecks der Übergabe verwendet wird. Damit das Arbeitsergebnis als anvertraut bezeichnet werden kann, muss es weiter überhaupt eines bestimmten Grades an Geheim- oder Vertrautheit fähig sein, d.h. es darf nicht allgemein bekannt sein ( Brauchbar Birkhäuser , Stämpflis Handkommentar UWG, 2010, Art. 5 N 15 f.; Pedrazzini/Pedrazzini , Unlauterer Wettbewerb, 2. Aufl., Bern 2002, S. 189). Kundendaten sind vom Arbeitgeber dem Arbeitnehmer im Sinn von Art. 5 lit. a UWG anvertraut, wenn sie im Rahmen des Arbeitsverhältnisses und daher mit dem Einverständnis des Arbeitgebers dem Arbeitnehmer zugänglich sind (BGer. 6B_298/2013 vom 16. Januar 2014 E. 3.2.2).</w:t>
      </w:r>
    </w:p>
    <w:p>
      <w:r>
        <w:rPr>
          <w:b/>
        </w:rPr>
        <w:t>E. 4</w:t>
      </w:r>
    </w:p>
    <w:p>
      <w:r>
        <w:t>Unter "Verwerten" im Sinn von Art. 5 lit. a UWG ist jede wirtschaftliche Nutzung eines fremden Arbeitsergebnisses zu verstehen. "Unbefugt" ist jede Verwertung dann, wenn dem Handelnden eine entsprechende Befugnis nicht zusteht, was wiederum ein dahingehendes Verwertungsverbot voraussetzt ( Pedrazzini/Pedrazzini , a.a.O., S. 190 f.). Ein solches Verbot kann sich aus einem Vertrag oder aus dem Bestehen eines Sonderrechts ergeben ( Brauchbar Birkhäuser , a.a.O., Art. 5 N 19). Ein ausgeschiedener Mitarbeiter unterliegt aufgrund von Art. 321a Abs. 4 OR einer nachvertraglichen Pflicht zur Geheimhaltung der während der Beschäftigungszeit erlangten Geschäftsgeheimnisse. Die Verwertung von dem Geschäftsgeheimnis nach Art. 321a Abs. 4 OR unterliegenden Kenntnissen gilt somit als unbefugt. Dateien über Kunden gehören zum Kreis von Informationen, die dem Geschäftsgeheimnis unterstehen können (BGer. 1B_284/2012 vom 29. Oktober 2012 E. 4.3). Keine Geschäftsgeheimnisse bilden berufliche Erfahrungen und Branchenkenntnisse, die der Arbeitnehmer beim Arbeitgeber sammelt. Der Arbeitnehmer ist mithin grundsätzlich berechtigt, die beim Arbeitgeber gewonnenen Fähigkeiten und Erfahrungen zu seinem beruflichen Fortkommen zu verwerten; er muss aber dabei auf die berechtigten Interessen des Arbeitgeber Rücksicht nehmen ( Rehbinder/Stöckli , Berner Kommentar zum OR, 3. Aufl. 2010, Art. 321a N 13 f.). Ein ausgeschiedener Arbeitnehmer darf indes nicht auf Informationen zurückgreifen, welche er bloss deswegen verfügt, weil er auf während der Dauer des Arbeitsverhältnisses angefertigte schriftliche Unterlagen zurückgreifen kann (BGH I ZR 126/03 vom 27. April 2006 E. II.3.a.aa). Denn einerseits sind solche Informationen für sein berufliches Fortkommen nicht erforderlich und andererseits würde deren Nutzung den berechtigten Interessen des früheren Arbeitgebers zuwiderlaufen, weil der ausgeschiedene Arbeitnehmer von den auf Kosten des früheren Arbeitgebers erschaffenen Früchten profitieren würde. cab. In Concreto (1) Anvertrautes Arbeitsergebnis 1. Die Kundendatei der Privatklägerin mit 5‘789 Kundenadressen enthielt folgende Rubriken "Firma", "Anrede", "Name", "Vorname", "Funktion", "Postfach/Zusatz", "Strasse", "PLZ", "Ort", "Land", "Telefon", "Telefax", "Adressen_E_Mail", "AdressenKontakte_E_Mail", "InternetURL", "TelefonP", "TelefonM", "Briefanrede", "Rayon", "Bonität" und "Verkäufer" (act. 53.02.019, 025 und 110-116). Neben der Angabe des Unternehmens mit Zustelladresse waren in der Kundendatenbank vielfach auch Mobiltelefonnummern von Ansprechpartnern und deren persönliche E-Mail-Adresse sowie Bonitätsangaben erfasst (act. 52.02.019; 10.01.083). Die Kundendatei bildet eine von der Privatklägerin eigens zusammengestellte Sammlung von potenziell an den von ihr angebotenen Produkten (Beleuchtungskörper, Leuchtmittel und Zubehör) interessierten Elektrogeschäften. Die Errichtung dieser Datei bedingte für die Privatklägerin fraglos einen beachtlichen Aufwand. Gerade für das Zusammentragen der Mobiltelefonnummern von den bei den entsprechenden Elektrofirmen für den Einkauf zuständigen Ansprechpartnern und deren persönliche E-Mail-Adresse sowie Bonitätsangaben über die Elektrofirmen war ein merklicher Aufwand nötig. Die Kundendatei stellt ein geeignetes Hilfsmittel für eine im Beleuchtungsgeschäft tätiges Unternehmen dar, weil die erfassten Adressen für die Werbung bei potenziell interessierte Elektrounternehmen und -geschäft genutzt werden kann. Ausserdem war die Kundendatei wegen der Angaben der Kontaktpersonen und der Bonität zur Kundenwerbung besonders geeignet, weil mit dieser zielgerichtet zahlungsfähige Kunden zwecks Anbahnung eines Verkaufs von Beleuchtungskörpern und anderen angebotenen Gegenständen angegangen werden können. Vor dem Hintergrund des Dargestellten ist die Kundendatei als Arbeitsergebnis zu betrachten. Die Kundenumsatzliste enthält die Umsatzzahlen (das jeweilige Umsatztotal) der Privatklägerin betreffend den Zeitraum 1. Januar 2010 bis 31. Juli 2010 alphabetisch nach Kunden geordnet sowie die Vergleichszahlen der Privatklägerin aus dem Zeitraum 1. Januar 2009 bis 31. Dezember 2009. Die Artikelumsatzliste beinhaltet eine Auflistung von zirka 90 verschiedenen Artikeln aus der Elektrotechnik/Beleuchtung und die jeweiligen von der Privatklägerin in den Jahren 2007, 2008 und 2009 erzielten Umsätze. Die Erstellung der Kunden- und Artikelumsatzliste war zweifelsohne mit einem gewissen Aufwand verbunden. Die Umsatzliste war von besonderem Nutzen, weil sie es ermöglichte, Kunden bevorzugt zu kontaktieren, bei welchen gute Aussichten über den Abschluss eines bedeutenden Geschäfts erwartet werden konnten. Zudem war auch die Artikelumsatzliste hilfreich, weil aufgrund dieser erkannt werden konnte, welche Artikel besonders gefragt waren und dies die Planung der Geschäftstätigkeit erleichterte. Aufgrund all dessen sind die Kunden- und Artikelumsatzliste als Arbeitsergebnis zu qualifizieren. 2. Es trifft zwar zu, dass es öffentliche Verzeichnisse über die Elektrogeschäfte in der Schweiz gibt, wie zum Beispiel die Webseite des Eidgenössischen Starkstrominspektorats oder die Webseite www.elektriker.ch und beim Moneyhouse Bonitätsauskünfte erlangt werden können. Indes ist zu beachten, dass es sich hier um ein speziell von der Privatklägerin errichtetes Gesamtverzeichnis handelt, welches in seiner Art keinen allgemein zugänglichen Quellen entnommen werden kann. So sind in der Kundendatei insbesondere Daten zur Bonität sowie spezifische Kontaktdaten (E-Mail-Adresse und Telefonnummer) der Ansprechperson enthalten, die beim betreffenden Elektrounternehmen für den Einkauf von Beleuchtungskörpern zuständig sind. Bei den Informationen auf der Kunden- und Artikelumsatzliste handelt es sich zudem um rein betriebsinterne Zahlenangaben, welche nicht allgemein verfügbar waren. Nach alledem ist festzuhalten, dass die in der Kundendatei sowie Kunden- und Artikelumsatzliste enthaltenen Informationen weder offenkundig noch allgemein zugänglich waren. 3. Die Beschuldigten erlangten aufgrund ihres Arbeitsverhältnisses im Einverständnis mit der Privatklägerin als Arbeitgeberin Kenntnis von der Kundendatei sowie der Kunden- und Artikelumsatzliste. Schon allein aufgrund dessen gelten diese nicht öffentlich verfügbaren Informationen als ihnen anvertraut. Dies muss vorliegend umso mehr gelten, als die fraglichen Computerdaten bei der Privatklägerin mit einem individuellen Passwort geschützt und damit nur einem eingeschränkten Kreis von Mitarbeitenden der Privatklägerin zugänglich waren. (2) Verwertung Die Beschuldigten verwerteten die Kundendatei sowie die Kunden- und Artikelumsatzliste der Privatklägerin für den Aufbau eines Kundenstammes bei der D._____ GmbH und den Verkauf von Beleuchtungskörper, Leuchtmittel und Zubehör. Dies war den Beschuldigten sowohl während als auch nach Beendigung ihres Arbeitsverhältnisses bei der Privatklägerin aufgrund von Art. 321a Abs. 4 OR untersagt. Der Gebrauch der besagten Unterlagen der Privatklägerin erfolgte somit unbefugt. (3) Fazit Dem Gesagten zufolge ist der objektive Tatbestand des unlauteren Wettbewerbs erstellt. cb. Subjektiver Tatbestand cba. Allgemeines In subjektiver Hinsicht wird ein vorsätzliches Handeln bezüglich aller objektiven Tatbestandsmerkmale verlangt, wobei Eventualvorsatz genügt ( Pedrazzini/Pedrazzini , a.a.O., S. 321). cbb. In Concreto Die Beschuldigten verwerteten aufgrund eines gemeinsamen Tatentschlusses die Kundendatei sowie die Kunden- und Artikelumsatzliste der Privatklägerin für den Aufbau eines Kundenstammes bei der D._____ GmbH und den Verkauf von Beleuchtungskörper, Leuchtmittel und Zubehör. Demnach steht fest, dass sie bei der Verwertung dieser Daten wissentlich und willentlich in Mittäterschaft handelten. Mangels konkreter gegenteiliger Anhaltspunkte ist davon auszugehen, dass die Beschuldigten wissentlich und willentlich gegen das Gesetz verstiessen. Zudem ist zu beachten, dass der Beschuldigte 2 bei der Einvernahme vom 5. Juni 2012 auf die Frage nach der Befugnis der D._____ GmbH an der Kundendatei der Privatklägerin gar einräumte, die Beschuldigten hätten daran keine Berechtigung gehabt (act. 10.01.052). Diese Aussage zeigt, dass der Beschuldigte 2 um die Rechtswidrigkeit der Nutzung der Kundendatei der Privatklägerin wusste. Hinzu kommt, dass der Beschuldigte 2 bei der Befragung vom 5. Juni 2012 eingestand, die Privatklägerin habe bei der Beendigung des Arbeitsverhältnis ihm einen Auszug aus dem Strafgesetzbuch ausgehändigt, in welchem die Bestimmung über die Verletzung des Fabrikations- und Geschäftsgeheimnis mit einem Leuchtstift markiert gewesen sei (act. 10.01.055). In Anbetracht all dessen ist der subjektive Tatbestand zu bejahen. cbc. Rechtfertigungsgründe Rechtfertigungsgründe sind keine ersichtlich. cbd. Schuldausschlussgründe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