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2025 41 vom 23. September 2025</w:t>
      </w:r>
    </w:p>
    <w:p>
      <w:r>
        <w:t>BL Gerichte, 2025-09-23, DE</w:t>
      </w:r>
    </w:p>
    <w:p>
      <w:r>
        <w:rPr>
          <w:b/>
        </w:rPr>
        <w:t xml:space="preserve">Quelle: </w:t>
      </w:r>
      <w:r>
        <w:t>https://mcp.opencaselaw.ch/entscheid/bl_gerichte_420_2025_41</w:t>
      </w:r>
    </w:p>
    <w:p>
      <w:r>
        <w:t>FR: BL_GERICHTE 420 2025 41 du 23 septembre 2025</w:t>
      </w:r>
    </w:p>
    <w:p>
      <w:r>
        <w:t>IT: BL_GERICHTE 420 2025 41 del 23 settembre 2025</w:t>
      </w:r>
    </w:p>
    <w:p>
      <w:pPr>
        <w:pStyle w:val="Heading2"/>
      </w:pPr>
      <w:r>
        <w:t>Regeste</w:t>
      </w:r>
    </w:p>
    <w:p>
      <w:r>
        <w:t>Die erfolgreiche Erhebung der Einrede der Vorausverwertung eines Grundpfands an einem Grundstück im Ausland (vorliegend: Frankreich) gemäss Art. 41 Abs. 1bis SchKG setzt voraus, dass die betreffende Rechtsordnung eine entsprechende Einrede kennt (E. 3.1 ff.); eine knappe Umschreibung des im Zahlungsbefehl aufgeführten Forderungsgrundes in einer Amtssprache genügt, wenn nach dem Grundsatz von Treu und Glauben der Anlass der Betreibung aus dem Gesamtzusammenhang erkennbar wird (E. 5.1 ff.).</w:t>
      </w:r>
    </w:p>
    <w:p>
      <w:pPr>
        <w:pStyle w:val="Heading2"/>
      </w:pPr>
      <w:r>
        <w:t>Erwägungen</w:t>
      </w:r>
    </w:p>
    <w:p>
      <w:r>
        <w:rPr>
          <w:b/>
        </w:rPr>
        <w:t>E. 6</w:t>
      </w:r>
    </w:p>
    <w:p>
      <w:r>
        <w:t>Für das Beschwerdeverfahren werden gemäss Art. 20a Abs. 2 Ziff. 5 SchKG i.V.m. Art. 61 Abs. 2 lit. a der Gebührenverordnung zum Bundesgesetz über Schuldbetreibung und Konkurs (GebV SchKG) keine Kosten erhoben. Die Zusprechung einer Partei- oder Umtriebsentschädigung ist im betreibungsrechtlichen Beschwerdeverfahren gemäss Art. 62 Abs. 2 GebV SchKG zudem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