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2025 101 vom 9. Dezember 2025</w:t>
      </w:r>
    </w:p>
    <w:p>
      <w:r>
        <w:t>BL Gerichte, 2025-12-09, DE</w:t>
      </w:r>
    </w:p>
    <w:p>
      <w:r>
        <w:rPr>
          <w:b/>
        </w:rPr>
        <w:t xml:space="preserve">Quelle: </w:t>
      </w:r>
      <w:r>
        <w:t>https://mcp.opencaselaw.ch/entscheid/bl_gerichte_420_2025_101</w:t>
      </w:r>
    </w:p>
    <w:p>
      <w:r>
        <w:t>FR: BL_GERICHTE 420 2025 101 du 9 décembre 2025</w:t>
      </w:r>
    </w:p>
    <w:p>
      <w:r>
        <w:t>IT: BL_GERICHTE 420 2025 101 del 9 dicembre 2025</w:t>
      </w:r>
    </w:p>
    <w:p>
      <w:pPr>
        <w:pStyle w:val="Heading2"/>
      </w:pPr>
      <w:r>
        <w:t>Regeste</w:t>
      </w:r>
    </w:p>
    <w:p>
      <w:r>
        <w:t>Wird der Konkurs mangels Aktiven eingestellt, leben die vor Konkurs eingeleiteten Betreibungen nach Art. 230 Abs. 4 SchKG wieder auf, sofern das Betreibungsamt die Betreibungen nicht bereits nach Art. 88 SchKG fortgesetzt und die Art der Betreibung (auf Pfändung oder Konkurs) definitiv festgelegt hat; andernfalls hat der Gläubiger ein neues Betreibungsbegehren zu stellen (E. 2.6). Will der Gläubiger von der Möglichkeit der Betreibung auf Pfändung gemäss Art. 230 Abs. 3 SchKG profitieren, muss er im Rahmen des Fortsetzungsbegehrens ausdrücklich die Betreibung auf Pfändung verlangen, ansonsten auf den ordentlichen Weg des Konkurses betrieben wird (E. 2.6).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Für das Beschwerdeverfahren werden gemäss Art. 20a Abs. 2 Ziff. 5 SchKG keine Kosten erhoben. Jene Partei trägt ihre eigenen Parteikosten selbst.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