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420 2014 17 vom 4. März 2014</w:t>
      </w:r>
    </w:p>
    <w:p>
      <w:r>
        <w:t>BL Gerichte, 2014-03-04, DE</w:t>
      </w:r>
    </w:p>
    <w:p>
      <w:r>
        <w:rPr>
          <w:b/>
        </w:rPr>
        <w:t xml:space="preserve">Quelle: </w:t>
      </w:r>
      <w:r>
        <w:t>https://mcp.opencaselaw.ch/entscheid/bl_gerichte_420_2014_17</w:t>
      </w:r>
    </w:p>
    <w:p>
      <w:r>
        <w:t>FR: BL_GERICHTE 420 2014 17 du 4 mars 2014</w:t>
      </w:r>
    </w:p>
    <w:p>
      <w:r>
        <w:t>IT: BL_GERICHTE 420 2014 17 del 4 marzo 2014</w:t>
      </w:r>
    </w:p>
    <w:p>
      <w:pPr>
        <w:pStyle w:val="Heading2"/>
      </w:pPr>
      <w:r>
        <w:t>Regeste</w:t>
      </w:r>
    </w:p>
    <w:p>
      <w:r>
        <w:t>SchKG-Beschwerde; Rückschaffung entfernter Retentionsgegenstände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Das betreibungsrechtliche Beschwerdeverfahren ist grundsätzlich kostenlos (Art. 20a Abs. 2 Ziff. 5 SchKG). Zumal gemäss Art. 62 Abs. 2 GebV SchKG die Zusprechung einer Parteientschädigung im Beschwerdeverfahren nicht zulässig ist, kann den in den Kostenanträgen der Beschwerdeführerin und des Betreibungsamtes enthaltenen Begehren um Ausrichtung einer Parteientschädigung nicht entsprochen werden.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