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16 99 vom 17. Mai 2016</w:t>
      </w:r>
    </w:p>
    <w:p>
      <w:r>
        <w:t>BL Gerichte, 2016-05-17, DE</w:t>
      </w:r>
    </w:p>
    <w:p>
      <w:r>
        <w:rPr>
          <w:b/>
        </w:rPr>
        <w:t xml:space="preserve">Quelle: </w:t>
      </w:r>
      <w:r>
        <w:t>https://mcp.opencaselaw.ch/entscheid/bl_gerichte_420_16_99</w:t>
      </w:r>
    </w:p>
    <w:p>
      <w:r>
        <w:t>FR: BL_GERICHTE 420 16 99 du 17 mai 2016</w:t>
      </w:r>
    </w:p>
    <w:p>
      <w:r>
        <w:t>IT: BL_GERICHTE 420 16 99 del 17 maggio 2016</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Im vorliegenden Fall hat das Betreibungsamt Basel-Landschaft am 31. März 2016 die Pfändung vollzogen. Die begründete Beschwerde ist durch die Postaufgabe am 8. April 2016 fristgerecht eingegangen. Die sachliche Zuständigkeit der Dreierkammer der Abteilung Zivilrecht des Kantonsgerichts ergibt sich aus § 6 Abs. 3 lit. a EG SchKG. Auf die Beschwerde ist daher einzutreten.</w:t>
      </w:r>
    </w:p>
    <w:p>
      <w:r>
        <w:rPr>
          <w:b/>
        </w:rPr>
        <w:t>E. 2</w:t>
      </w:r>
    </w:p>
    <w:p>
      <w:r>
        <w:t>Mit Beschwerde vom 7. April 2016 rügt der Beschwerdeführer im Wesentlichen, die Pfändung seines Vermögens vom 31. März 2016 durch das Betreibungsamt sei unangemessen, da er zwölf und nicht lediglich drei Monate lang Anspruch auf sein Existenzminimum habe. Zu prüfen ist deshalb, ob die Vermögenspfändung bzw. die Überlassung des dreimonatigen Existenzminimums zu Recht erfolgt ist. Gemäss Art. 93 Abs. 1 SchKG kann Erwerbseinkommen jeder Art so weit gepfändet werden, als es nach dem Ermessen des Betreibungsbeamten für den Schuldner und seine Familie nicht unbedingt notwendig ist. Bei beschränkt pfändbarem Einkommen handelt es sich grundsätzlich um Entgelt für persönliche Arbeit des Schuldners (vgl. Vonder Mühll in: BSK SchKG II, 2. Aufl., Art. 93 N 3, m.w.H.). In casu liegt keine Einkommenspfändung vor, da der Schuldner zur Zeit keiner Erwerbarbeit nachgeht. Es liegt vielmehr eine Pfändung von beweglichem Vermögen im Sinne von Art. 95 Abs. 1 SchKG vor, worunter auch Bankguthaben fallen. Nach Art. 92 Abs. 1 Ziff. 5 SchKG sind die Nahrungs- und Feuerungsmittel oder die zu ihrer Anschaffung erforderlichen Barmittel oder Forderungen, soweit sie für den Schuldner und seine Familie für die zwei auf die Pfändung folgende Monate notwendig sind, unpfändbar. Die Rechtsprechung wendet die in Art. 92 Abs. 1 Ziff. 5 SchKG statuierte Zeitdauer von zwei Monaten in Analogie zu Art. 93 SchKG auch in denjenigen Fällen an, wo der Schuldner aufgrund gänzlicher oder teilweiser Erwerbslosigkeit für die Bestreitung seines notwendigen Lebensunterhalts auf sein vorhandenes Vermögen angewiesen ist. Lediglich im Falle eines Schuldners, welcher dauernd erwerbsunfähig oder stark vermindert erwerbsfähig ist, würde sich die Bemessung des Existenzminimums von zwei Monaten als zu knapp erweisen (vgl. Vonder Mühll , a.a.O, Art. 92 N 25; BGE 92 III 6, 7 f.). Im vorliegenden Fall berechnete das Betreibungsamt Basel-Landschaft das Existenzminimum des Schuldners und überliess diesem den kapitalisierten Notbedarf für drei Monate in Höhe von CHF 9‘600.00. Die konkrete Berechnung des Existenzminimums ist unbestritten geblieben und nicht von Amtes wegen zu überprüfen. Die Freigabe des Notbedarfs für drei Monate ist in Anbetracht der angeführten Literatur und Rechtsprechung sowie Umstände allemal angemessen. Es gibt keine Hinweise darauf, dass der Betriebene dauernd erwerbsunfähig oder vermindert erwerbsfähig ist. Es ist daher nicht zu beanstanden, dass das Betreibungsamt dem Beschwerdeführer bloss das Existenzminimum für drei Monate überliess und das restliche Sparguthaben pfändete. Es obliegt dem Beschwerdeführer, eine neue Arbeitsstelle anzutreten oder allenfalls an die Sozialhilfebehörde zu gelangen. Abschliessend bleibt anzumerken, dass es nicht Sache der Aufsichtsbehörde über Schuldbetreibung und Konkurs ist, Handlungen der Bank (Verkauf der Anlagefonds und Aktien sowie Saldierung des Euro-Kontos durch Belastung des Franken-Kontos), welche vom Beschwerdeführer gerügt wurden, zu beurteilen. Mit der betreibungsrechtlichen Beschwerde können ausschliesslich Handlungen des Betreibungsamtes überprüft werden. Zusammenfassend bleibt festzuhalten, dass die vorgenommene Pfändung des Vermögens des Beschwerdeführers korrekt erfolgt ist. Die Beschwerde ist somit unbegründet und abzuweisen.</w:t>
      </w:r>
    </w:p>
    <w:p>
      <w:r>
        <w:rPr>
          <w:b/>
        </w:rPr>
        <w:t>E. 3</w:t>
      </w:r>
    </w:p>
    <w:p>
      <w:r>
        <w:t>Für das Beschwerdeverfahren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