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2015 460 vom 18. März 2014</w:t>
      </w:r>
    </w:p>
    <w:p>
      <w:r>
        <w:t>BL Gerichte, 2014-03-18, DE</w:t>
      </w:r>
    </w:p>
    <w:p>
      <w:r>
        <w:rPr>
          <w:b/>
        </w:rPr>
        <w:t xml:space="preserve">Quelle: </w:t>
      </w:r>
      <w:r>
        <w:t>https://mcp.opencaselaw.ch/entscheid/bl_gerichte_410_2015_460</w:t>
      </w:r>
    </w:p>
    <w:p>
      <w:r>
        <w:t>FR: BL_GERICHTE 410 2015 460 du 18 mars 2014</w:t>
      </w:r>
    </w:p>
    <w:p>
      <w:r>
        <w:t>IT: BL_GERICHTE 410 2015 460 del 18 marzo 2014</w:t>
      </w:r>
    </w:p>
    <w:p>
      <w:pPr>
        <w:pStyle w:val="Heading2"/>
      </w:pPr>
      <w:r>
        <w:t>Regeste</w:t>
      </w:r>
    </w:p>
    <w:p>
      <w:r>
        <w:t>Prozessleitende Verfügung</w:t>
      </w:r>
    </w:p>
    <w:p>
      <w:pPr>
        <w:pStyle w:val="Heading2"/>
      </w:pPr>
      <w:r>
        <w:t>Erwägungen</w:t>
      </w:r>
    </w:p>
    <w:p>
      <w:r>
        <w:rPr>
          <w:b/>
        </w:rPr>
        <w:t>E. 3</w:t>
      </w:r>
    </w:p>
    <w:p>
      <w:r>
        <w:t>Abschliessend ist noch über die Verlegung der Prozesskosten zu befinden. Massgebend für die Regelung der Kostenfolgen sind die Bestimmungen der Art. 104 ff. ZPO, die auch im Rechtsmittelverfahren gelten. Gemäss Art. 106 Abs. 1 ZPO werden die Prozesskosten der unterliegenden Partei auferlegt. Entsprechend dem vorliegenden Verfahrensausgang haben die Beschwerdeführerinnen somit für die Prozesskosten aufzukommen. Eine Anwendung von Art. 107 ZPO, der ein Abweichen von den Verteilungsgrundsätzen und die Verteilung der Prozesskosten nach Ermessen erlaubt, ist nicht angebracht. Die Entscheidgebühr wird in Anwendung von § 9 Abs. 2 lit. a der Verordnung vom 15. November 2010 über die Gebühren der Gerichte (SGS 170.31; Gebührentarif) auf pauschal CHF 600.00 festgelegt. Darüber hinaus haben die Beschwerdeführerinnen der Gegenpartei eine Parteientschädigung auszurichten, zumal ein diesbezüglicher Antrag gestellt wurde. Die vorgelegte Honorarnote vom 14. Januar 2016 erscheint unter Berücksichtigung der Schwierigkeit und Bedeutung der Sache sowie der damit verbundenen Verantwortung als allemal angemessen. Die Beschwerdeführerinnen haben dem Beschwerdegegner eine Parteientschädigung von CHF 1‘250.00 zuzüglich Auslagen von CHF 2.00 und Mehrwertsteuer von CHF 100.15 zu bezahlen. Das Gesuch des Beschwerdegegners um unentgeltliche Rechtspflege wird folglich obsolet, zumal die Parteientschädigung bei der Gegenseite fraglos einbringlich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