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17 212 vom 19. September 2017</w:t>
      </w:r>
    </w:p>
    <w:p>
      <w:r>
        <w:t>BL Gerichte, 2017-09-19, DE</w:t>
      </w:r>
    </w:p>
    <w:p>
      <w:r>
        <w:rPr>
          <w:b/>
        </w:rPr>
        <w:t xml:space="preserve">Quelle: </w:t>
      </w:r>
      <w:r>
        <w:t>https://mcp.opencaselaw.ch/entscheid/bl_gerichte_410_17_212</w:t>
      </w:r>
    </w:p>
    <w:p>
      <w:r>
        <w:t>FR: BL_GERICHTE 410 17 212 du 19 septembre 2017</w:t>
      </w:r>
    </w:p>
    <w:p>
      <w:r>
        <w:t>IT: BL_GERICHTE 410 17 212 del 19 settembre 2017</w:t>
      </w:r>
    </w:p>
    <w:p>
      <w:pPr>
        <w:pStyle w:val="Heading2"/>
      </w:pPr>
      <w:r>
        <w:t>Regeste</w:t>
      </w:r>
    </w:p>
    <w:p>
      <w:r>
        <w:t>Arbeitsrecht</w:t>
      </w:r>
    </w:p>
    <w:p>
      <w:pPr>
        <w:pStyle w:val="Heading2"/>
      </w:pPr>
      <w:r>
        <w:t>Erwägungen</w:t>
      </w:r>
    </w:p>
    <w:p>
      <w:r>
        <w:rPr>
          <w:b/>
        </w:rPr>
        <w:t>E. 3</w:t>
      </w:r>
    </w:p>
    <w:p>
      <w:r>
        <w:t>Die Vorinstanz hat in ihrem Entscheid ausgeführt, der Einsatz des Klägers ab 30. September 2013 auf dem Areal der G.____ müsse zwar als auswärtiger Arbeitsplatz anerkannt werden, doch habe der Kläger für diesen Einsatz keinen Anspruch auf Bezahlung der Mittagszulagen, da er sich vor Ort so habe verpflegen können, wie er dies auch bei einer Möglichkeit nach Hause zurückzukehren gekonnt hätte. Die Kostenersatzpflicht für Verpflegung gelte nur dann, wenn die vor Ort zu generierenden Aufwendungen die Mindestauslagen innerhalb der Betriebsstätte oder zu Hause konkret und effektiv überstiegen. Dem Kläger habe somit im Rahmen der ihm obliegenden Schadensminderungspflicht die zumutbare Gelegenheit offen gestanden, die Generierung von ausserordentlichen Mittagsspesen zu vermeiden, weshalb die Mittagszulagenforderungen des Klägers für die Zeit ab 30. September 2016 (recte: 2013) abzulehnen sei.</w:t>
      </w:r>
    </w:p>
    <w:p>
      <w:r>
        <w:rPr>
          <w:b/>
        </w:rPr>
        <w:t>E. 4</w:t>
      </w:r>
    </w:p>
    <w:p>
      <w:r>
        <w:t>Der Beschwerdeführer wendet dagegen zunächst ein, weder das Restaurant der G.____ noch das Firmenrestaurant der F.____ AG seien in einer Mittagspause von 45 Minuten zu erreichen. Dieser Einwand vermag nichts am vorinstanzlichen Entscheid zu ändern, da die Vorinstanz richtigerweise zum Schluss kam, dass die Vergünstigung im Restaurant auf dem G.____ Areal den Voraussetzungen gemäss Art. 60 Abs. 2 LMV nicht genüge. In Bezug auf die Möglichkeit zur F.____ AG in Y.____ zurückkehren zu können, hat die Vorinstanz zunächst zu Recht bejaht, dass der Arbeitsort auf dem G.____ Areal in X.____ als auswärtiger Arbeitsort anerkannt werden muss. Denn gemäss der Schweizerischen Paritätischen Vollzugskommission Bauhauptgewerbe ist die Mittagsentschädigung dann nicht geschuldet, wenn der Arbeitnehmer während mindestens einer halben Stunde seine Mahlzeit einnehmen kann. Benötigt der Arbeitnehmer also bei einer Mittagspause von einer Stunde mehr als eine halbe Stunde für An- und Rückfahrt nach Hause oder zur Betriebskantine, so ist die Mittagsentschädigung geschuldet. Massgeblich ist der tatsächliche Zeitaufwand für den Weg (SVK 22/2007). Im Regio GAV wird sodann festgehalten, dass eine Mittagsentschädigung geschuldet ist, wenn die Arbeitnehmenden auf eine Baustelle versetzt werden, die mehr als eine Wegdistanz von 6 km fahrbarer Strasse vom Werkhof der Firma entfernt ist (Art. 10 Abs. 2 lit. a Regio GAV). Im vorliegenden Fall ist sowohl basierend auf die Wegdistanz als auch auf die Nettoarbeitszeit von einem auswärtigen Arbeitsort auszugehen. So lag der Arbeitsort in X.____ mehr als 6 km vom Anstellungsort in Y.____ entfernt. Zudem ist offensichtlich, dass der Beschwerdeführer in einer Mittagspause von 45 Minuten den Weg von 8,9 km nicht in einer Zeit hätte zurücklegen können, dass ihm auch noch 30 Minuten verblieben wären, um seine Mahlzeit einzunehmen. Der Einsatz des Beschwerdeführers für die F.____ AG auf dem G.____ Areal fand somit, wie die Vorinstanz zu Recht festgehalten hat, klarerweise an einem auswärtigen Ort statt und eine Rückkehr an den Anstellungsort war für den Beschwerdeführer nicht möglich. Die Rüge des Beschwerdeführers, die Rückkehr nach Hause oder der Besuch der Betriebskantine sei ihm aus zeitlichen Gründen nicht möglich, stösst somit ins Leere. 5.1 Der Beschwerdeführer bringt weiter vor, die Vorinstanz sei zu Unrecht davon ausgegangen, die Arbeitgeberin sei ihrer Verpflichtung für eine ausreichende Verpflegung zu sorgen nachgekommen. Die Arbeitgeberin habe durch das Bereitstellen eines Tischs und einer Mikrowelle keine Verpflegung zur Verfügung gestellt. Sie müsse in jedem Fall die Mittagsentschädigung entrichten. 5.2 Die Vorinstanz hat erwogen, die Ersatzpflicht des Arbeitgebers beziehe sich nur auf Auslagen des Arbeitnehmers, welche ein sorgfältiger umsichtiger Angestellter als notwendig ansehen durfte. Weiter erläutert sie, dem Kläger habe eine Schadensminderungspflicht oblegen und ihm habe die zumutbare Gelegenheit offen gestanden, die Generierung von ausserordentlichen Mittagsspesen zu vermeiden. Dadurch macht sie die Bezahlung der Mittagsentschädigung ohne rechtliche Grundlage von einer zusätzlichen Voraussetzung abhängig, nämlich von der Erforderlichkeit. Sie verkennt dadurch, dass die Kosten für den persönlichen Unterhalt bei auswärtiger Erbringung der Arbeitsleistung nicht nur zu Lasten des Arbeitgebers gehen können (Ziff. 7 des angefochtenen Urteils), sondern stets obligatorisch zu dessen Lasten gehen müssen ( Streiff/von Kaenel/Rudolph , a.a.O., N 2 zu Art. 327a OR; Kommentar zum Landesmantelvertrag für das schweizerische Bauhauptgewerbe 2012-2015, Gewerkschaft Unia [Hrsg,], S. 152). Einzige Voraussetzung für den Ersatz von Auslagen für den persönlichen Unterhalt ist die Verrichtung der Arbeit an einem auswärtigen Ort, dies ergibt sich nicht nur aus der Botschaft zur Revision des Obligationenrechts, sondern auch aus der Lehre (vgl. Botschaft des Bundesrats zum Entwurf eines Bundesgesetzes über die Revision des Zehnten Titels und des Zehnten Titels bis des Obligationenrechts, BBl 1967 II 241 ff., S. 340 f.; Streiff/von Kaenel/Rudolph , a.a.O., N 2 zu Art. 327a OR; Portmann/Rudolph , a.a.O., N 2 zu Art. 327a OR; Emmel , a.a.O., N 2 zu Art. 327a OR; Kommentar zum Landesmantelvertrag für das schweizerische Bauhauptgewerbe 2012-2015, Gewerkschaft Unia [Hrsg,], S. 152). Hinzu kommt, dass die Bestimmung in Art. 327a Abs. 1 OR relativ zwingend ist, so dass zuungunsten der Arbeitnehmenden nicht von ihr abgewichen werden darf (Art. 362 Abs. 1 OR). Der Anspruch darf nicht an strengere bzw. zusätzliche Voraussetzungen geknüpft werden. Eine solche zusätzliche Voraussetzung lässt sich auch nicht aus Art. 60 LMV ableiten, da ein Gesamtarbeitsvertrag nur zugunsten der Arbeitnehmenden von zwingendem Recht abweichen darf, nie aber zu deren Ungunsten (Art. 358 OR). Im Übrigen spricht auch der Wortlaut von Art. 60 LMV und Art. 10 Regio GAV – die Marginalien beider Bestimmungen lauten: "Auslagenersatz bei Versetzung" – dafür, dass einzige Voraussetzung für die Mittagsentschädigung ein auswärtiger Arbeitsort ist. Die Vorinstanz hat folglich den Anspruch zu Unrecht an die zusätzliche Voraussetzung der Erforderlichkeit der Mehrauslagen aufgrund der Versetzung geknüpft. Die vom LMV und Regio GAV vorgesehene Pauschale für Essensspesen ist geschuldet, und zwar unabhängig davon, ob die Verpflegung effektiv in einem Restaurant erfolgt ( Streiff/von Kaenel/Rudolph , a.a.O., N 4 zu Art. 327a OR). 5.3 Lediglich wenn der Arbeitgeber für das Mittagessen aufkommt, muss dieser die Entschädigung nicht bezahlen (Art. 10 Abs. 2 Regio GAV). Auch Art. 60 Abs. 2 LMV besagt, dass der Betrieb nach Möglichkeit für ausreichende Verpflegung zu sorgen hat. Wenn diese fehlt, so ist eine Mittagsentschädigung auszurichten. Daraus folgt, dass der Arbeitgeber seiner Pflicht statt durch Ausrichtung einer Barentschädigung auch durch das Bereitstellen einer Mahlzeit nachkommen kann. Das Bereitstellen einer Küche reicht hierzu jedoch – wie vom Beschwerdeführer zu Recht moniert – nicht aus. Dies hat die Schweizerische Paritätische Vollzugskommission Bauhauptgewerbe explizit festgehalten: Das Zurverfügungstellen eines Containers auf der Baustelle mit Mikrowelle oder Kochmöglichkeit stellt keine ausreichende Verpflegung dar. Mit einer Kochmöglichkeit wird lediglich die Voraussetzungen geschaffen, dass der Arbeitnehmer eine warme Mahlzeit zubereiten kann. Damit ist dem Erfordernis der "ausreichenden Verpflegung" im Sinne von Art. 60 Abs. 2 LMV nicht Genüge getan, weshalb in einem solchen Fall die Mittagsentschädigung geschuldet ist (SVK 132/2013). Die Beschwerdegegnerin ist also durch das Bereitstellen der "F.____ AG internen" Küche nicht für die Verpflegung des Beschwerdeführers aufgekommen, weshalb sie die Barentschädigung gemäss LMV und Regio GAV zu leisten hat. Folglich ist im vorliegenden Fall die einzige Voraussetzung für den Anspruch auf eine Mittagsentschädigung, nämlich die Arbeitsleistung an einem auswärtigen Arbeitsort, unbestrittenermassen erfüllt und der Beschwerdeführer hat, da die Arbeitgeberin keine ausreichende Verpflegung zur Verfügung stellt, Anspruch auf eine Mittagsentschädigung gemäss Art. 327a OR i.V.m. Art. 27 GAV Personalverleih i.V.m. Art. 60 Abs. 2 LMV i.V.m. Art. 10 Abs. 1 Regio GAV.</w:t>
      </w:r>
    </w:p>
    <w:p>
      <w:r>
        <w:rPr>
          <w:b/>
        </w:rPr>
        <w:t>E. 6</w:t>
      </w:r>
    </w:p>
    <w:p>
      <w:r>
        <w:t>Entgegen der Auffassung der Vorinstanz sind ferner sämtliche Auslagen und nicht nur diejenigen, welche die Kosten bei Verpflegung zu Hause oder in der Betriebsstätte übersteigen, zu ersetzen. Wird eine Barentschädigung geleistet, so dürfen die Kosten, die dem Beschwerdeführer bei der Verköstigung zu Hause oder am Betriebsort entstanden wären, nicht abgezogen werden, auch das geht aus der Botschaft hervor und dieser Meinung folgt auch die Lehre (Botschaft des Bundesrats, a.a.O., S. 340 f.; Streiff/von Kaenel/Rudolph , a.a.O., N 2 zu Art. 327a OR; Portmann/Rudolph , a.a.O., N 2 zu Art. 327a OR; Kommentar zum Landesmantelvertrag für das schweizerische Bauhauptgewerbe 2012-2015, Gewerkschaft Unia [Hrsg.], S. 152). Ein Abzug rechtfertigt sich deshalb nicht, da die auswärtige Verköstigung häufig teurer ist, als was dafür im Sinne von Mindestauslagen vergütet wird. Hinzu kommt, dass die Unterhaltsersparnisse der Arbeitnehmenden geringfügig sind und die Mehrkosten für den Unterhalt auswärts kaum genau bestimmt werden können. Schliesslich können durch den Verzicht auf einen Abzug administrative Umtriebe vermieden werden (Botschaft des Bundesrats, a.a.O., S. 341; Streiff/Von Kaenel/Rudolph , a.a.O., N 2 zu Art. 327a OR). Entgegen diesem Ansatz führt die Vorinstanz aus, die Kostenersatzpflicht bestehe nur soweit die Kosten am auswärtigen Ort die Aufwendungen zu Hause oder in der Betriebsstätte überstiegen. Der Beschwerdeführer habe das Material zur Zubereitung der Mahlzeiten einkaufen, mitbringen und die Küche benutzen können, wie wenn er sich zu Hause verpflegt hätte. Im Ergebnis zieht die Vorinstanz somit die Kosten ab, die dem Beschwerdeführer zu Hause oder in der Betriebsstätte entstanden wären, und verweigert deshalb den Anspruch auf eine Mittagsentschädigung. Ein solcher Abzug ist nach der Intention des Gesetzgebers nicht zulässig (Botschaft des Bundesrats, a.a.O., S. 340 f.). Es ist somit nicht ausschlaggebend, ob sich der Beschwerdeführer auf dem G.____ Areal hat kostenneutral verpflegen können. Wird die Arbeit an einem auswärtigen Arbeitsort verrichtet, so muss der Arbeitgeber entweder für eine Verpflegung sorgen oder die Auslagen für den persönlichen Unterhalt ersetzen, und zwar voll. Zusammenfassend kann somit festgehalten werden, dass die Vorinstanz zu Unrecht den Anspruch des Beschwerdeführers auf eine Mittagsentschädigung verneint hat. Der Beschwerdeführer macht zu Recht geltend, es stünden ihm auch für seine Anstellungszeit bei der F.____ AG die Pauschalen gemäss LMV bzw. Regio GAV zu, obwohl auf dem G.____ Areal eine Küche zur Verfügung stand. 7.1 Die auf das zu beurteilende Arbeitsverhältnis anwendbaren Gesamtarbeitsverträge (GAV Personalverleih, LMV und Regio GAV) sehen zur Abgeltung der Mittagsentschädigung Pauschale vor (vgl. Art. 327a Abs. 2 OR). Diese beträgt gemäss Art. 27 GAV Personalverleih i.V.m. Art. 60 Abs. 2 LMV i.V.m. Art. 10 Abs. 1 Regio GAV CHF 15.00 pro Arbeitstag. Der Beschwerdeführer war vom 30. September 2013 bis zum 19. Dezember 2014 auf dem G.____ Areal für die F.____ AG im Einsatz und hat im Jahr 2013 65 Tage und im Jahr 2014 212 Tage, d.h. insgesamt 277 Tage, gearbeitet. Für die Monate November und Dezember 2013 bezahlte die Beschwerdegegnerin dem Beschwerdeführer Verpflegungspauschalen von CHF 294.00 und CHF 224.00, brachte dann aber im Januar 2014 vom Lohn wiederum CHF 252.00 in Abzug, so dass sich der Anspruch des Beschwerdeführers auf insgesamt CHF 3‘889.00 beläuft (277 Tage x CHF 15.00 [gemäss Regio GAV 2012] – CHF 294.00 – CHF 224.00 + CHF 252.00). 7.2 Gemäss Art. 58 Abs. 1 ZPO darf das Gericht einer Partei jedoch nicht mehr und nichts anderes zusprechen, als sie verlangt, und nicht weniger, als die Gegenpartei anerkannt hat. Damit wird die Dispositionsmaxime in der schweizerischen ZPO normiert (vgl. Sutter-Somm/von Arx , in: Sutter-Somm/Hasenböhler/Leuenberger [Hrsg.], Kommentar zur Schweizerischen Zivilprozessordnung, 3. Aufl. 2016, Art. 58 N 12). Da das vorliegende Verfahren von der Dispositionsmaxime beherrscht ist, darf das Kantonsgericht dem Beschwerdeführer nicht mehr zusprechen, als dieser beantragt hat. Der Beschwerdeführer hat in seiner Beschwerde vom 14. Juni 2017 keine Anträge gestellt und lediglich sinngemäss die Aufhebung des vorinstanzlichen Entscheids und die Zusprechung der Mittagszulage verlangt. Damit sind die vor erster Instanz gestellten Rechtsbegehren ausschlaggebend. In diesen hat die Rechtsvertreterin des Beschwerdeführers für das Jahr 2013 eine Entschädigung von CHF 966.00 zuzüglich Zins zu 5% ab 1. Januar 2014 und CHF 3‘180.00 zuzüglich Zins zu 5% ab 1. Januar 2015 beantragt. Das Zivilkreisgericht hat die Klage teilweise gutgeheissen und dem Beschwerdeführer CHF 530.00 für das Jahr 2013 zugesprochen, womit sich sein Begehren für das Jahr 2013 im Rechtsmittelverfahren noch auf CHF 436.00 (CHF 966.00 – CHF 530.00) beläuft. Entsprechend diesen Anträgen ist dem Beschwerdeführer somit für seinen Einsatz im Jahr 2013 bei der F.____ AG eine Mittagsentschädigung von CHF 436.00 zuzüglich Zins zu 5% ab 1. Januar 2014 und für seinen Einsatz im Jahr 2014 CHF 3‘180.00 zuzüglich Zins zu 5% ab 1. Januar 2015, d.h. total CHF 3‘616.00, zuzusprechen.</w:t>
      </w:r>
    </w:p>
    <w:p>
      <w:r>
        <w:rPr>
          <w:b/>
        </w:rPr>
        <w:t>E. 8</w:t>
      </w:r>
    </w:p>
    <w:p>
      <w:r>
        <w:t>Abschliessend ist noch über die Verteilung der Prozesskosten zu befinden. Trifft die Rechtsmittelinstanz einen neuen Entscheid, so hat sie auch über die Prozesskosten des erstinstanzlichen Verfahrens zu entscheiden ( Freiburghaus/Afheldt , in: Sutter-Somm/Hasenböhler/Leuenberger [Hrsg.], Kommentar zur Schweizerischen Zivilprozessordnung, 3. Aufl. 2016, N 24 zu Art. 327 ZPO). Gemäss Art. 106 Abs. 1 ZPO werden die Prozesskosten der unterliegenden Partei auferlegt. Entsprechend dem vorliegenden Verfahrensausgang hat die Beschwerdegegnerin somit für die Prozesskosten aufzukommen. Da es sich vorliegend um eine Arbeitsstreitigkeit mit einem Streitwert von weniger als CHF 30‘000.00 handelt, werden in Anwendung von Art. 114 lit. c ZPO für das erst- und das zweitinstanzliche Verfahren keine Gerichtskosten erhoben. Ferner ist dem Beschwerdeführer für das Rechtsmittelverfahren keine Parteientschädigung zu Lasten der Beschwerdegegnerin zuzusprechen, da er für dieses Verfahren nicht anwaltlich vertreten war. Hingegen hat die Beschwerdegegnerin dem Beschwerdeführer eine Parteientschädigung für das erstinstanzliche Verfahren zu bezahlen. Nachdem die vormalige Rechtsvertreterin des Beschwerdeführers bei der Vorinstanz keine Honorarnote eingereicht hat, ist die Parteientschädigung vom Gericht von Amtes wegen nach Ermessen festzusetzen (§ 18 Abs. 1 Tarifordnung für die Anwältinnen und Anwälte, TO, SGS 178.112). Für das Verfahren vor erster Instanz ist die Berechnung nach Streitwert anwendbar (§ 7 Abs. 1 TO). Ausgehend von einem Streitwert von CHF 4‘146.00 und angesichts der Schwierigkeit der Sache ist das Grundhonorar in Anwendung von § 7 Abs. 1 lit. a TO auf CHF 1‘500.00 festzusetzen. Hinzuzurechnen sind ferner geschätzte Auslagen von CHF 50.00 und MWST zu 8% von CHF 124.00. Zuschläge gemäss § 8 TO sind keine zu veranschlagen, da im Grundhonorar die Teilnahme der Rechtsvertreterin an der Hauptverhandlung und das Verfassen einer Rechtsschrift inbegriffen ist. Die Beschwerdegegnerin hat somit dem Beschwerdeführer für das erstinstanzliche Verfahren eine Parteientschädigung von CHF 1‘674.00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