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51 vom 13. Juni 2023</w:t>
      </w:r>
    </w:p>
    <w:p>
      <w:r>
        <w:t>BL Gerichte, 2023-06-13, DE</w:t>
      </w:r>
    </w:p>
    <w:p>
      <w:r>
        <w:rPr>
          <w:b/>
        </w:rPr>
        <w:t xml:space="preserve">Quelle: </w:t>
      </w:r>
      <w:r>
        <w:t>https://mcp.opencaselaw.ch/entscheid/bl_gerichte_400_23_51</w:t>
      </w:r>
    </w:p>
    <w:p>
      <w:r>
        <w:t>FR: BL_GERICHTE 400 23 51 du 13 juin 2023</w:t>
      </w:r>
    </w:p>
    <w:p>
      <w:r>
        <w:t>IT: BL_GERICHTE 400 23 51 del 13 giugno 2023</w:t>
      </w:r>
    </w:p>
    <w:p>
      <w:pPr>
        <w:pStyle w:val="Heading2"/>
      </w:pPr>
      <w:r>
        <w:t>Regeste</w:t>
      </w:r>
    </w:p>
    <w:p>
      <w:r>
        <w:t>Mietzinsreduktion</w:t>
      </w:r>
    </w:p>
    <w:p>
      <w:pPr>
        <w:pStyle w:val="Heading2"/>
      </w:pPr>
      <w:r>
        <w:t>Erwägungen</w:t>
      </w:r>
    </w:p>
    <w:p>
      <w:r>
        <w:rPr>
          <w:b/>
        </w:rPr>
        <w:t>E. 2</w:t>
      </w:r>
    </w:p>
    <w:p>
      <w:r>
        <w:t>Wohnfläche. Anhand der eingereichten Fotografien erschienen die Vergleichsobjekte in einem «normalen» oder «Standard» Zustand. Die Nettomiete der Vergleichsobjekte betrage zwischen CHF 2'126.27 und CHF 2'561.33. Damit liege der aktuell von den Berufungsklägern zu bezahlende Nettomietzins von CHF 2'029.00 unter denjenigen der Vergleichsobjekte, weshalb unter diesem Blickwinkel kein Anspruch auf eine weitere Mietzinssenkung bestehe und die Klage auch aus diesem Grund abzuweisen sei. 4.3 Nach Ansicht der Berufungskläger hat die Berufungsbeklagte den Nachweis der Orts- und Quartierüblichkeit nicht erbracht. Die Berufungsbeklagte habe sich für die Vorlage der fünf Vergleichsobjekte auf das von ihr in Auftrag gegebene Privatgutachten von Prof. Dr. D.____ vom 25. Mai 2020 abgestützt. Der Parteigutachter habe als Zeuge vorinstanzlich ausgesagt, dass es sich bei den Vergleichsobjekten um Angebotsmieten handle. Überdies seien die Angaben aufgrund der mietvertraglichen Unterlagen erfolgt, wobei keine Besichtigung der Objekte stattgefunden habe. Das Gutachten sowie die darin erwähnten Vergleichsobjekte seien bereits aus diesem Grund nicht geeignet, den Nachweis der Orts- und Quartierüblichkeit zu erbringen. Ferner hätten sie bereits vorinstanzlich beanstandet, dass die Eigentumsverhältnisse der aufgeführten Vergleichsobjekte fehlten. Selbst bei Abstellen auf das Gutachten falle ein Objekt weg, da dieses ebenfalls der Berufungsbeklagten gehöre und somit nur noch drei Vergleichsobjekte vorlägen. Die Vorinstanz habe sich damit in keiner Weise auseinandergesetzt, was erneut eine Verletzung des rechtlichen Gehörs darstelle. Die Vergleichsobjekte müssten auch hinsichtlich der Bauperiode vergleichbar sein. Gemäss Praxis liege die Vergleichbarkeit in einer Zeitspanne von 20 Jahren. Von den zehn im Parteigutachten aufgeführten Vergleichsobjekten lägen nur deren vier in dieser Zeitspanne. Dies sei gemäss bundesgerichtlicher Praxis zum Nachweis vergleichbarerer Mietzinse ungenügend. Im angefochtenen Entscheid fehle diesbezüglich jegliche Erörterung, was einer weiteren Gehörsverletzung gleichkomme. Die Vorinstanz setze sich auch mit dem von ihnen erhobenen Einwand, wonach das Gutachten keinerlei Angaben über die Mietzinsgestaltung der Vergleichsobjekte enthalte, ebenso wenig auseinander, wie mit der Einrede, dass die im Schlichtungsverfahren von der Berufungsbeklagten erfolgten Angaben betreffend den Referenzzins und die Kostensteigerung der Vergleichsobjekte in beweismässiger Hinsicht ungenügend seien und als blosse Behauptungen bestritten würden. Da vergleichbare Mietzinse ihrerseits nicht missbräuchlich sein dürften, sei zur entsprechenden Überprüfung die Kenntnis der Mietverträge und allfälliger seit Vertragsschluss erfolgter Mietvertragsänderungen erforderlich, welche die Berufungsbeklagte hätte vorlegen müssen, dies jedoch nicht getan habe. Die Vorinstanz sei somit in willkürlicher Rechtsanwendung zum Schluss gelangt, der Nettomietzins von CHF 2’029.00 liege unter denjenigen der Vergleichsobjekte, so dass kein Anspruch auf eine weitere Mietzinssenkung bestehe und die Klage abzuweisen sei. Da die Orts- und Quartierüblichkeit jedoch nicht nachgewiesen worden sei, erfolgte die Klagabweisung zu Unrecht. 4.4 . Die Berufungsbeklagte wirft den Berufungsklägern eine Verletzung des Rügeprinzips vor und stellt fest, die gegnerische Kritik sei durchwegs appellatorischer Natur und setze sich nicht mit dem angefochtenen Entscheid auseinander, weshalb ihre unzutreffende Argumentation schon von vornherein nicht zu hören sei. Die Berufungskläger hätten die im Gutachten erwähnten Objekte nicht bestritten. Zudem gehörten sämtliche verglichenen Objekte unterschiedlichen Eigentümern. Überdies könnten bei zutreffender Betrachtung die «relativen» Kostenstände der Vergleichsobjekte bei der Beurteilung der «absoluten» orts- und quartierüblichen Mietzinse keine Rolle spielen. Es sei einem unter absoluten Gesichtspunkten orts- und quartierüblichen Mietzins in aller Regel sogar eigen, dass er auf relativen Kostenfaktoren beruhe, die nicht den aktuellen Verhältnisse entsprächen. Alle zehn Vergleichsobjekte seien im Sinne von Art. 11 VMWG zum Nachweis der orts- und quartierüblichen Mietzinse tauglich gewesen, womit der Nachweis erbracht worden sei. Sollte das Kantonsgericht wider Erwarten die Erwägungen der Vorinstanz zum orts- und quartierüblichen Mietzins verwerfen, wäre dem von ihr bereits im vorinstanzlichen Verfahren einlässlich begründeten Beweisantrag stattzugeben, wonach ein Gutachten zur Frage des orts- und quartierüblichen Mietzinses einzuholen sei. 4.5 Die Vorinstanz erwog im angefochtenen Entscheid zu Recht, dass es sich beim von der Berufungsbeklagten eingereichten Gutachten von Prof. Dr. D.____ um ein Parteigutachten und nicht um eine offizielle Statistik handelt. Wie die Berufungskläger korrekt monieren, basieren die im Parteigutachten erwähnten Vergleichsobjekte auf Angebots- anstatt auf Bestandesmieten. Die Orts- und Quartierüblichkeit stellt jedoch auf Mietzinse ab, die für vergleichbare Objekte im Beurteilungszeitpunkt tatsächlich bezahlt werden. Deshalb scheitert der Nachweis der Orts- und Quartierüblichkeit bereits an den aufgeführten Angebotsmieten, weshalb sich eine weitere Überprüfung erübrigt. Die Berufung ist diesbezüglich somit gutzuheissen, wirkt sich aber nicht auf die Höhe des Mietzinses aus. Denn wie bereits unter Ziffer 3.5 hiervor erörtert, steht dem Senkungsbegehren bereits eine Kostensteigerung von 0.5% pro Jahr entgegen, woraus ein neuer Nettomietzins von CHF 2'048.66 resultiert. Damit erweist sich der bisherige Nettomietzins von CHF 2'029.00 als nicht missbräuchlich, weshalb die Berufung abzuweisen ist. Ein Gutachten zur Frage des orts- und quartierüblichen Mietzinses ist bei diesem Ergebnis entbehrlich.</w:t>
      </w:r>
    </w:p>
    <w:p>
      <w:r>
        <w:rPr>
          <w:b/>
        </w:rPr>
        <w:t>E. 5</w:t>
      </w:r>
    </w:p>
    <w:p>
      <w:r>
        <w:t>Es bleibt über die Verteilung und Liquidation der Prozesskosten des vorliegenden Berufungsverfahrens, bestehend aus den Gerichtskosten sowie der Parteientschädigung (Art. 95 Abs. 1 ZPO), zu befinden. Massgebend sind die Bestimmungen von Art. 104 ff. ZPO. Gemäss Art. 106 Abs. 1 ZPO sind die Prozesskosten der unterliegenden Partei aufzuerlegen, somit den Berufungsklägern. Die Entscheidgebühr wird in Anwendung von § 9 Abs. 1 i.V. mit § 8 Abs. 1 lit. f Ziff. 3 der Verordnung über die Gebühren der Gerichte (SGS 170.31; Gebührentarif) für das zweitinstanzliche Verfahren auf pauschal CHF 2’000.00 festgelegt und den Berufungsklägern auferlegt. Die Höhe der Parteientschädigung bzw. die Kosten der berufsmässigen Vertretung sind nach dem Streitwert zu bestimmen (§ 2 Abs. 2 der Tarifordnung für die Anwältinnen und Anwälte [TO; SGS 178.112]). Da zwei Parallelverfahren mit denselben Rechtsvertretern zu beurteilen sind, bemisst sich das Gesamthonorar nach dem kumulierten Streitwert und wird angemessen auf die beiden Verfahren verteilt (§ 14 TO). Der kumulierte Streitwert beträgt CHF 33’270.00 (CHF 13’200 aus dem vorliegenden Verfahren zuzüglich CHF 20'070.00 aus dem Verfahren 400 23 52), wofür § 7 Abs. 1 TO ein Grundhonorar von CHF 3‘300.00 bis 6‘450.00 bei einem Streitwert zwischen CHF 20'000.00 bis CHF 50'000.00 vorsieht. Der vorliegende Streitwert rangiert im unteren Drittel des Streitwertrahmens, so dass sich ein Grundhonorar von CHF 4'000.00 rechtfertigt. Prozentual aufgeteilt nach Streitwert auf die beiden Parallelverfahren resultiert im vorliegenden Verfahren somit eine Parteientschädigung CHF 1’600.00 (40% von CHF 4'000.00). Da von der Berufungsbeklagten weder die Mehrwertsteuer noch Zulagen geltend gemacht werden, verbleibt es bei der Parteientschädigung von CHF 1'600.00, welche die Berufungskläger der Berufungsbeklagten zu bezahlen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