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22 236 vom 16. Januar 2023</w:t>
      </w:r>
    </w:p>
    <w:p>
      <w:r>
        <w:t>BL Gerichte, 2023-01-16, DE</w:t>
      </w:r>
    </w:p>
    <w:p>
      <w:r>
        <w:rPr>
          <w:b/>
        </w:rPr>
        <w:t xml:space="preserve">Quelle: </w:t>
      </w:r>
      <w:r>
        <w:t>https://mcp.opencaselaw.ch/entscheid/bl_gerichte_400_22_236</w:t>
      </w:r>
    </w:p>
    <w:p>
      <w:r>
        <w:t>FR: BL_GERICHTE 400 22 236 du 16 janvier 2023</w:t>
      </w:r>
    </w:p>
    <w:p>
      <w:r>
        <w:t>IT: BL_GERICHTE 400 22 236 del 16 gennaio 2023</w:t>
      </w:r>
    </w:p>
    <w:p>
      <w:pPr>
        <w:pStyle w:val="Heading2"/>
      </w:pPr>
      <w:r>
        <w:t>Regeste</w:t>
      </w:r>
    </w:p>
    <w:p>
      <w:r>
        <w:t>Sachenrecht/Stockwerkeigentum</w:t>
      </w:r>
    </w:p>
    <w:p>
      <w:pPr>
        <w:pStyle w:val="Heading2"/>
      </w:pPr>
      <w:r>
        <w:t>Erwägungen</w:t>
      </w:r>
    </w:p>
    <w:p>
      <w:r>
        <w:rPr>
          <w:b/>
        </w:rPr>
        <w:t>E. 3</w:t>
      </w:r>
    </w:p>
    <w:p>
      <w:r>
        <w:t>Der Berufungskläger moniert, dass die Klage auf Abberufung der Verwaltung jedenfalls im Rahmen einer zulässigen Klageänderung gemäss Art. 227 ZPO anhand zu nehmen sei. Die Abberufungsklage sei eine Beschlussanfechtungsklage und beinhalte begriffsnotwendig auch die Aufhebung des Beschlusses, womit nicht einsichtig sei, weshalb für eine Beschlussaufhebung ohne Abberufungsantrag nicht auch Art. 249 lit. d Ziff. 4 ZPO gelten solle. Dieser Argumentation des Berufungsklägers muss entgegnet werden, dass eine Klageänderung gemäss dem eindeutigen Wortlaut von Art. 227 Abs. 1 ZPO nur zugelassen werden kann, wenn der geänderte oder neue Anspruch nach der gleichen Verfahrensart zu beurteilen ist und mit dem bisherigen Anspruch in einem sachlichen Zusammenhang steht oder die Gegenpartei zustimmt (BSK ZPO- Willisegger , 3. Aufl., 2017, Art. 227 N 27 ff.). Da die Anfechtungsklage je nach Streitwert im vereinfachten oder ordentlichen Verfahren mit vorangehendem Schlichtungsverfahren beurteilt wird, die Abberufungsklage hingegen im Summarverfahren, ist die Voraussetzung der gleichen Verfahrensart offensichtlich nicht gegeben. Zudem hat die Gegenpartei keine Zustimmung zu einer Klageänderung erteilt. Der vorinstanzliche Entscheid ist somit in diesem Punkt zu bestätigen und die entsprechende Rüge des Berufungsklägers abzuweisen.</w:t>
      </w:r>
    </w:p>
    <w:p>
      <w:r>
        <w:rPr>
          <w:b/>
        </w:rPr>
        <w:t>E. 4</w:t>
      </w:r>
    </w:p>
    <w:p>
      <w:r>
        <w:t>Hinsichtlich des fehlenden Rechtsschutzinteresses des Berufungsklägers bezüglich des ersten Teils seiner auf die Abberufung der Verwaltung zielenden Klage vom 18. Januar 2022 ist festzuhalten, dass die entsprechende Urteilserwägung 11 der Vorinstanz im Berufungsverfahren nicht substantiiert gerügt wurde. Der Nichteintretensentscheid der Vorinstanz bezüglich des ersten Teils der Klage ist mangels hinreichend substantiierter Anfechtung inzwischen rechtskräftig geworden. 5.1 Eventualiter beantragt der Berufungskläger die Reduktion der an die Gegenpartei zu leistende Parteientschädigung gemäss dem angefochtenen Entscheid von CHF 8’574.90 auf CHF 3'000.00. Er begründet die Reduktion zum einen mit dem Streitwert der Klage, den er fälschlicherweise mit CHF 12'000.00 beziffert. In Anbetracht dieses Streitwertes erachtet er in Anwendung von § 7 der Tarifordnung für die Anwältinnen und Anwälte (TO, SGS 178.112) ein Grundhonorar von «nicht mehr als CHF 2'700.00» als angemessen. Zum anderen lehnt der Berufungsklägers aufgrund des durchgeführten einfachen Schriftenwechsels im vorinstanzlichen Verfahren und der jeweils eingereichten Stellungnahme im Rahmen des freiwilligen Replikrechts etwaige Zuschläge gemäss § 8 TO ab. Selbst inklusive allfälliger Zuschläge wäre eine Prozessentschädigung über CHF 3’000.00 seiner Ansicht nach nicht mehr rechtmässig und angemessen. Bei dieser Entschädigungshöhe liege auch kein offensichtliches Missverhältnis im Sinne von § 9 TO vor, da der Umfang der Klageschrift relativ gering gewesen sei, keine Beweisverfahren stattgefunden hätten und abgesehen von sieben Dokumenten und der Parteibefragung auch keine Beweisanträge gestellt worden seien. Für den Anwalt hätten sich zudem Synergien in Bezug auf das Parallelverfahren 140 22 143 II ergeben. 5.2 Laut der Berufungsbeklagten ist von einem Streitwert von CHF 120'000.00 auszugehen. Zu den Erläuterungen der Berufungsklägerin zum Streitwert, welche im vorinstanzlichen Verfahren nicht substantiiert gewesen seien, habe sie sich nicht äussern können. Verglichen mit dem Streitwert liege die zugesprochene Parteientschädigung unter dem in § 7 TO vorgesehenen Grundhonorar. Selbst bei einem Streitwert von CHF 12'000.00 wäre diese Höhe der Parteientschädigung aufgrund des entstandenen Aufwands von rund 51 Stunden noch angemessen und tarifkonform. 5.3 Dem Kantonsgericht erscheint der auf der Honorarnote der Berufungsbeklagten ausgewiesene Aufwand von 51.27 Stunden für die Ausarbeitung einer rund 31-seitigen Stellungnahme und zweier zusätzlicher Eingaben im Gesamtumfang von etwa 18 Seiten nicht überhöht zu sein, zumal darin auch der Aufwand für das Studium der Rechtsschriften und Eingaben des Berufungsklägers, der zahlreichen Beilagen sowie Instruktion durch die Klientschaft enthalten sind. Die in der Honorarnote ausgewiesenen Aufwandpositionen können weder als unberechtigt noch als nicht notwendig bezeichnet werden und der angewendete Stundenansatz ist tarifkonform gemäss § 3 Abs. 1 und 3 TO. Bezüglich der Bedeutung der Sache kann der Streitwert der Sache, welcher entgegen der Annahme des Berufungsklägers nicht CHF 12'000.00, sondern CHF 120'000.00 beträgt (vgl. dazu vorstehende Erwägungen 1.1 und 1.2), berücksichtigt werden. Die zugesprochene Parteientschädigung von CHF 8’574.90 (einschliesslich Auslagen und Mehrwertsteuer) steht sicherlich nicht in einem offenbaren Missverhältnis zu den entstandenen Bemühungen der Rechtsvertretung der Berufungsbeklagten und zur Bedeutung der Sache gemäss § 9 TO, selbst wenn das Parallelverfahren 140 22 143 II berücksichtigt wird, bei welchem der Sachverhalt angesichts der unterschiedlichen Rechtsbegehren und Prüfungspunkte nur teilweise deckungsgleich ist. Schliesslich ist die Höhe der vorinstanzlich zugesprochenen Parteientschädigung auch im Vergleich mit einer nach Streitwert zu berechnenden Parteientschädigung gemäss § 7 Abs. 1 lit. g TO, welcher bei einem Streitwert von CHF 100'000.00 bis 200'000.00 das Grundhonorar zwischen CHF 9'750.00 und CHF 17'250.00 festlegt, allemal angemessen. Die Rüge des Berufungsklägers zur an die Gegenseite zu leistenden Parteientschädigung für das vorinstanzliche Verfahren erweist sich somit als unbegründet.</w:t>
      </w:r>
    </w:p>
    <w:p>
      <w:r>
        <w:rPr>
          <w:b/>
        </w:rPr>
        <w:t>E. 6</w:t>
      </w:r>
    </w:p>
    <w:p>
      <w:r>
        <w:t>Abschliessend ist über die Prozesskosten des Berufungsverfahrens, bestehend aus den Gerichtskosten sowie der Parteientschädigung (Art. 95 Abs. 1 ZPO), zu befinden. Zufolge der vorstehenden Erwägungen ist die Berufung abzuweisen, weshalb die Prozesskosten des Berufungsverfahrens gemäss Art. 106 Abs. 1 ZPO dem Berufungskläger aufzuerlegen sind. Die Gerichtsgebühr ist in Anwendung von § 9 Abs. 1 i.V.m. § 8 Abs. 1 lit. f und Abs. 3 lit. d der Verordnung über die Gebühren der Gerichte (GebT, SGS 170.31) auf CHF 1'500.00 festzusetzen. Ferner hat der Berufungskläger der Berufungsbeklagten eine Parteientschädigung für die Kosten der berufsmässigen Vertretung zu leisten, welche sich nach der Tarifordnung bemisst. Mangels Vorlage einer Honorarnote durch die Berufungsbeklagte ist die Parteientschädigung von Amtes wegen nach Ermessen festzusetzen (§ 18 Abs. 1 TO). Auszugehen von einem Streitwert von CHF 120'000.00 (dazu vorstehende Erwägung 1.2) ist das Grundhonorar auf CHF 11'250.00 festzulegen und für das zweitinstanzliche Verfahren ermessensweise und angebrachtermassen um 40% auf CHF 6'750.00 festzulegen (§ 7 Abs. 1 lit. g i.V.m. § 10 TO). Zuschläge zum Grundhonorar sind keine zu berücksichtigen, andernfalls ein offenbares Missverhältnis zu den Bemühungen der Rechtsvertretung im Rechtsmittelverfahren resultieren würde (§ 9 TO). Ebensowenig ist ein Auslagenersatz gemäss §§ 15 und 16 TO geschuldet, da ein solcher vorliegend nicht ausgewiesen ist (KGE BL 400 19 196 vom 19. November 2019 E. 10). Hingegen ist der Berufungsbeklagten antragsgemäss die Mehrwertsteuer von derzeit 7.7% auf das Grundhonorar zu vergüten. Der Berufungskläger hat daher der Berufungsbeklagten eine Parteientschädigung in Höhe von CHF 7'269.75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