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21 251 vom 5. April 2022</w:t>
      </w:r>
    </w:p>
    <w:p>
      <w:r>
        <w:t>BL Gerichte, 2022-04-05, DE</w:t>
      </w:r>
    </w:p>
    <w:p>
      <w:r>
        <w:rPr>
          <w:b/>
        </w:rPr>
        <w:t xml:space="preserve">Quelle: </w:t>
      </w:r>
      <w:r>
        <w:t>https://mcp.opencaselaw.ch/entscheid/bl_gerichte_400_21_251</w:t>
      </w:r>
    </w:p>
    <w:p>
      <w:r>
        <w:t>FR: BL_GERICHTE 400 21 251 du 5 avril 2022</w:t>
      </w:r>
    </w:p>
    <w:p>
      <w:r>
        <w:t>IT: BL_GERICHTE 400 21 251 del 5 aprile 2022</w:t>
      </w:r>
    </w:p>
    <w:p>
      <w:pPr>
        <w:pStyle w:val="Heading2"/>
      </w:pPr>
      <w:r>
        <w:t>Regeste</w:t>
      </w:r>
    </w:p>
    <w:p>
      <w:r>
        <w:t>Miete</w:t>
      </w:r>
    </w:p>
    <w:p>
      <w:pPr>
        <w:pStyle w:val="Heading2"/>
      </w:pPr>
      <w:r>
        <w:t>Erwägungen</w:t>
      </w:r>
    </w:p>
    <w:p>
      <w:r>
        <w:rPr>
          <w:b/>
        </w:rPr>
        <w:t>E. 5</w:t>
      </w:r>
    </w:p>
    <w:p>
      <w:r>
        <w:t>Zusammenfassend kann festgehalten werden, dass sowohl die Vorinstanz als auch das Kantonsgericht vorliegend an die mit Entscheid vom 9. April 2019 im Berufungsverfahren 400 18 384 festgestellte Formularpflicht nach Art. 269d Abs. 3 OR zur Erhöhung der Hauswartungskosten gebunden sind und somit auf die diesbezügliche Wiederholung der entsprechenden Rüge nicht einzutreten ist. Bezüglich der Rüge der mangelnden Substantiierung der rückforderbaren Hauswartungskosten resp. der Unangemessenheit derer Erhöhung ist die Berufung abzuweisen.</w:t>
      </w:r>
    </w:p>
    <w:p>
      <w:r>
        <w:rPr>
          <w:b/>
        </w:rPr>
        <w:t>E. 6</w:t>
      </w:r>
    </w:p>
    <w:p>
      <w:r>
        <w:t>Nachfolgend bleibt über die Verteilung der Prozesskosten des Berufungsverfahrens, bestehend aus den Gerichtskosten sowie der Parteientschädigung (Art. 95 Abs. 1 ZPO), zu befinden. Massgebend für die Regelung der Kostenfolgen sind die Bestimmungen der Art. 104 ff. ZPO, die auch im Berufungsverfahren gelten, da im Gesetz für das Rechtsmittelverfahren keine speziellen Kostenvorschriften enthalten sind (vgl. Seiler , Die Berufung nach ZPO, 2013, § 17 N 1560). Gemäss Art. 106 Abs. 1 ZPO werden die Prozesskosten der unterliegenden Partei auferlegt. Die vorstehenden Erwägungen haben gezeigt, dass die Berufung abzuweisen ist, soweit auf sie eingetreten werden kann. Die Gerichtskosten werden in Anwendung von § 9 Abs. 1 i.V.m. § 8 Abs. 1 lit. f Ziff. 2 der Verordnung über die Gebühren der Gerichte (GebT; SGS 170.31) auf CHF 1‘600.00 festgesetzt und der Berufungsklägerin auferlegt. Ebenfalls hat die Berufungsklägerin den Berufungsbeklagten eine Parteientschädigung auszurichten. Da mit der Berufungsantwort keine Honorarnote eingereicht worden ist, hat das Gericht gemäss § 18 Abs. 1 der Tarifordnung für die Anwältinnen und Anwälte (TO; SGS 178.112) die Parteientschädigung von Amtes wegen nach Ermessen festzusetzen. In mietrechtlichen Streitigkeiten mit einem bestimmten Streitwert erfolgt die Berechnung des Honorars nach dem Streitwert (§ 2 Abs. 1 und 2 TO). Bei einem Streitwert von CHF 16‘266.40 ist das Grundhonorar zwischen CHF 2‘250.00 und CHF 3‘600.00 festzusetzen (§7 Abs. 1 lit. d TO). Das Kantonsgericht erachtet vorliegend eine Parteientschädigung in der Höhe von pauschal CHF 3’000.00 als angemessen. Weitere Zuschläge gemäss § 8 TO sind keine zu veranschlagen. Schliesslich ist mangels Einreichung der Honorarnote weder ein Auslagenersatz noch der Ersatz einer allfälligen Mehrwertsteuerabgabe geschuldet (KGE BL 400 19 237 vom 3. Dezember 2019 E. 9.1). Die Berufungsklägerin hat der Berufungsbeklagten daher eine Parteientschädigung von CHF 3‘000.00 (ohne Auslagen und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