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21 138 vom 25. Januar 2022</w:t>
      </w:r>
    </w:p>
    <w:p>
      <w:r>
        <w:t>BL Gerichte, 2022-01-25, DE</w:t>
      </w:r>
    </w:p>
    <w:p>
      <w:r>
        <w:rPr>
          <w:b/>
        </w:rPr>
        <w:t xml:space="preserve">Quelle: </w:t>
      </w:r>
      <w:r>
        <w:t>https://mcp.opencaselaw.ch/entscheid/bl_gerichte_400_21_138</w:t>
      </w:r>
    </w:p>
    <w:p>
      <w:r>
        <w:t>FR: BL_GERICHTE 400 21 138 du 25 janvier 2022</w:t>
      </w:r>
    </w:p>
    <w:p>
      <w:r>
        <w:t>IT: BL_GERICHTE 400 21 138 del 25 gennaio 2022</w:t>
      </w:r>
    </w:p>
    <w:p>
      <w:pPr>
        <w:pStyle w:val="Heading2"/>
      </w:pPr>
      <w:r>
        <w:t>Regeste</w:t>
      </w:r>
    </w:p>
    <w:p>
      <w:r>
        <w:t>Unterhalt und Obhut Kind</w:t>
      </w:r>
    </w:p>
    <w:p>
      <w:pPr>
        <w:pStyle w:val="Heading2"/>
      </w:pPr>
      <w:r>
        <w:t>Erwägungen</w:t>
      </w:r>
    </w:p>
    <w:p>
      <w:r>
        <w:rPr>
          <w:b/>
        </w:rPr>
        <w:t>E. 9</w:t>
      </w:r>
    </w:p>
    <w:p>
      <w:r>
        <w:t>Zum Abschluss sind die Kosten des Berufungsverfahrens zu regeln. Dazu ist wiederum auf Art. 107 Abs. 1 lit. c ZPO resp. auf die zuvor erfolgten Überlegungen hinzuweisen. Im vorliegenden Fall erscheint die hälftige Aufteilung der Gerichtskosten und die Wettschlagung der ausserordentlichen Kosten aber auch angesichts des Verfahrensausgangs ohne Weiteres als vertretbar. Die Mutter ist nämlich mit einem ihrer Hauptanliegen, die Festlegung des Wohnsitzes von C.____ an ihrem Wohnort, durchgedrungen. Der Vater ist mit seiner Anschlussberufung unterlegen. Die Entscheidgebühr, die gemäss § 9 Abs. 1 i.V.m. § 8 Abs. 1 lit. h und § 3 Abs. 2 GebT für das vorliegende Berufungsverfahren auf CHF 8'000.00 festgesetzt wird, ist den Parteien demnach je zur Hälfte aufzuerlegen. Für die im Berufungsverfahren entstandenen Parteikosten hat sodann jede Partei selber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