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21 vom 10. März 2020</w:t>
      </w:r>
    </w:p>
    <w:p>
      <w:r>
        <w:t>BL Gerichte, 2020-03-10, DE</w:t>
      </w:r>
    </w:p>
    <w:p>
      <w:r>
        <w:rPr>
          <w:b/>
        </w:rPr>
        <w:t xml:space="preserve">Quelle: </w:t>
      </w:r>
      <w:r>
        <w:t>https://mcp.opencaselaw.ch/entscheid/bl_gerichte_400_20_21</w:t>
      </w:r>
    </w:p>
    <w:p>
      <w:r>
        <w:t>FR: BL_GERICHTE 400 20 21 du 10 mars 2020</w:t>
      </w:r>
    </w:p>
    <w:p>
      <w:r>
        <w:t>IT: BL_GERICHTE 400 20 21 del 10 marzo 2020</w:t>
      </w:r>
    </w:p>
    <w:p>
      <w:pPr>
        <w:pStyle w:val="Heading2"/>
      </w:pPr>
      <w:r>
        <w:t>Regeste</w:t>
      </w:r>
    </w:p>
    <w:p>
      <w:r>
        <w:t>Eheschutz</w:t>
      </w:r>
    </w:p>
    <w:p>
      <w:pPr>
        <w:pStyle w:val="Heading2"/>
      </w:pPr>
      <w:r>
        <w:t>Erwägungen</w:t>
      </w:r>
    </w:p>
    <w:p>
      <w:r>
        <w:rPr>
          <w:b/>
        </w:rPr>
        <w:t>E. 13</w:t>
      </w:r>
    </w:p>
    <w:p>
      <w:r>
        <w:t>90 E. 2.1; 400 17 271 E. 1.2 ). 1.3 Vorliegend hat der anwaltlich vertretene Berufungskläger in der Berufung vom 27. Januar 2020 einzig die teilweise Aufhebung des vorinstanzlichen Urteils verlangt. Es fehlt mithin ein Antrag in der Sache. Dies stellt einen formellen Mangel dar, welcher nicht mehr geheilt werden kann. Es handelt sich vorliegend auch nicht um einen oben erwähnten Ausnahmefall, denn aufgrund der umfassenden Aktenlage (Aufnahmebericht des Schulheims E.____ vom 29. Oktober 2019, Kurzberichte der KJP vom 17. Juli 2019 sowie vom 23. November 2019) sowie der Kognition des Kantonsgerichtes in der Sache könnte die angerufene Rechtsmittelinstanz grundsätzlich einen reformatorischen Entscheid fällen. Mangels eines entsprechenden Begehrens ist dem Kantonsgericht aber diese Möglichkeit genommen. Nach dem Gesagten ist es zudem nicht ausreichend, die Begehren in der Begründung näher auszuführen. Im Einklang mit der kantonsgerichtlichen Praxis, nach welcher bei Rechtsmitteleingaben einer anwaltlich vertretenen Partei ein strenger Massstab anzuwenden ist, ist somit auf die Berufung vom 27. Januar 2020 nicht einzutreten. 1.4 Selbst wenn das Kantonsgericht die mangelhaften Rechtsbegehren genügen lassen würde, so wäre auf die Berufung dennoch nicht einzutreten. Nicht nur für Berufungsanträge, sondern auch hinsichtlich der Begründung gelten bestimmte Anforderungen an eine Berufungsschrift, damit die Rechtsmittelinstanz auf das Rechtsmittel eintritt. Dies setzt voraus, dass der Berufungskläger die angefochtenen vorinstanzlichen Erwägungen im Einzelnen bezeichnet, sich mit diesen argumentativ auseinandersetzt und die Aktenstücke nennt, auf denen seine Kritik beruht (BGer 4A_382/2015 vom 4. Januar 2016 E. 11.3.1). Der Berufungskläger muss somit mittels genügend präziser Verweisungen auf die Akten aufzeigen, wo die massgebenden Behauptungen, Erklärungen, Bestreitungen und Einreden erhoben wurden bzw. aus welchen Aktenstellen sich der geltend gemachte Berufungsgrund ergeben soll ( Christoph Hurni , Der Rechtsmittelprozess der ZPO, in: Zeitschrift des Bernischen Juristenvereins ZBJD 156/2020, S. 71 mit Verweis auf BGer 4A_157/2015 vom 30. Mai 2017 E. 3.3). Der gesetzlichen Begründungslast im Sinne einer ernsthaften Auseinandersetzung mit dem Entscheid der ersten Instanz genügen daher in einer Berufungsschrift weder blosse Wiederholungen der eigenen Vorbringen vor erster Instanz, die von dieser bereits abgehandelt wurden, noch blosse Verweise in der Berufungsschrift auf die eigenen Sachdarstellungen vor der ersten Instanz. Ungenügend ist sodann bloss allgemeine formelhafte Kritik an den erstinstanzlichen Erwägungen, wie z.B. diese seien falsch, rechtswidrig oder willkürlich, ohne dass zugleich dargetan wird, warum dem aus der Sicht der Berufung führenden Partei so sein soll. Die Rechtsmittelinstanz muss zudem nicht nach allen denkbaren möglichen Fehler eigenständig forschen ( Reetz/Theiler , a.a.O., N 36 zu Art. 311 ZPO; Hungerbühler , a.a.O., N 27 zu Art. 311 ZPO). 1.5 Die Vorinstanz legt in ihren Erwägungen bezüglich der angefochtenen Dispositiv-Ziffern ausführlich und nachvollziehbar dar, weshalb sie beide Kinder der alleinigen Obhut der Mutter unterstellt. Sie nimmt Bezug auf die erwähnten Kurzberichte der KJP, welche Gutachtenqualität aufweisen würden, und auf den Aufnahmebericht des Schulheims E.____. Weiter wurden die Ergebnisse der Befragung beider Kinder sowie der Gerichtsverhandlungen einbezogen. Hinsichtlich der alleinigen Obhut seien die fachärztlichen Einschätzungen für das Gericht klar, vollständig und schlüssig. Bei D.____ sei demnach eine Aufmerksamkeitsdefizit-/Hyperaktivitätsstörung (ADHS) diagnostiziert worden, die schulische Situation sei schwierig und die Kindseltern überfordert. Das Schulinternat würde genügend Forderung und Struktur geben. Aus ärztlicher Sicht sei die alleinige Obhut des Vaters für D.____ nicht zu empfehlen, da er dann auch aus dem Schulsetting in E.____ gerissen würde. Daher könne sich D.____ dort am besten stabilisieren, zugleich sei eine Bindung zu beiden Elternteilen für seine weitere Entwicklung wichtig. Der Berufungskläger kommt seiner Rügeobliegenheit im Sinne von Art. 310 ZPO in der Berufungsschrift nicht hinreichend nach. Sofern der Berufungsbegründung überhaupt entnommen werden kann, dass er die alleinige Obhut für D.____ begehrt und dessen Übernachtungen im Schulheim E.____ verhindern möchte, vermag der Berufungskläger seine aufgestellte Behauptung nicht zu belegen. Er gibt an, die Vorinstanz habe sich nicht mit dem von ihm vorgebrachten Argument auseinandergesetzt, dass D.____ in der Nacht im Schulheim weinen und leiden würde und beschränkt sich darauf, seine eigene Sichtweise darzulegen, ohne jeweils auf genaue Fundstellen im Entscheid des Zivilkreisgerichts Bezug zu nehmen. Ebenso liefert er keine stichhaltige Begründung, weshalb es sich bei der Aussage, D.____ sei erst acht Jahre alt und psychisch angeschlagen, um eine unrichtige Sachverhaltsfeststellung handeln soll. Eine detaillierte Auseinandersetzung mit dem Urteil findet in der Berufungseingabe an das Kantonsgericht nicht statt. Hinsichtlich der Rüge, die Ferienregelung während des Aufenthaltes im Schulheim sei willkürlich, bleibt festzuhalten, dass es dem Berufungskläger schon zu einem früheren Zeitpunkt im Eheschutzverfahren offen gestanden hätte, eine konkrete Regelung des persönlichen Verkehrs zu beantragen. Darauf hat er bisher verzichtet. Einzig in seiner Stellungnahme vom 14. Februar 2019 hat er im erstinstanzlichen Verfahren in allgemeiner Weise begehrt, dass der Mutter bzw. dem jeweiligen Elternteil ein angemessenes Besuchs- und Ferienrecht zu gewähren sei. Auch in seiner Berufung hat er weder einen konkreten Antrag gestellt noch begründet, wie er sich die Gestaltung des persönlichen Verkehrs vorstellt. Demzufolge ist auf die Berufung auch unter diesen Gesichtspunkten nicht einzutreten. Indessen ist es ihm unbenommen, aufgrund geänderter Verhältnisse beim Eheschutzgericht einen neuen Antrag dazu zu stellen, zumal der Aufenthalt seines Sohnes in der E.____ nun doch schon einige Zeit dauert. Zusammengefasst ist aus den genannten Gründen auf die Berufung nicht einzutreten. 2. Wird auf die Berufung nicht eingetreten, bleibt der erstinstanzliche Entscheid unverändert und es ist auch nicht über die Kostenverteilung des vorinstanzlichen Verfahrens zu befinden (Art. 318 Abs. 3 ZPO e contrario). Somit bleibt abschliessend über die Verlegung der Prozesskosten des Berufungsverfahrens, bestehend aus Gerichts- und Anwaltskosten, zu befinden. Massgebend für die Regelung der Kosten- und Entschädigungsfolgen sind die Bestimmungen der Art 95 ff. ZPO. Gemäss Art. 106 Abs. 1 ZPO werden die Prozesskosten der unterliegenden Partei auferlegt, wobei ein Nichteintreten kostenmässig einem Unterliegen gleichzusetzen ist. Somit hat der Berufungskläger die Gerichtsgebühr für das kantonsgerichtliche Verfahren zu tragen, welche in Anwendung von § 8 Abs. 1 in Verbindung mit § 9 Abs. 1 lit. a der Verordnung vom 15. November 2010 über die Gebühren der Gerichte (SGS 170.31; Gebührentarif) auf pauschal CHF 750.00 festzulegen ist. Darüber hinaus hat der Berufungskläger der Berufungsbeklagten eine Parteientschädigung auszurichten, zumal ein diesbezüglicher Antrag gestellt wurde. Eine Honorarnote wurde nicht eingereicht, so dass die entsprechende Parteientschädigung von Amtes wegen nach Ermessen festzusetzen ist (vgl. § 18 Abs. 1 Tarifordnung für die Anwältinnen und Anwälte; SGS 178.112). Unter Berücksichtigung der Komplexität der Streitsache in tatsächlicher und rechtlicher Hinsicht erscheint eine Parteientschädigung nach Zeitaufwand im Umfang von zehn Stunden zu einem mittleren Ansatz von CHF 250.00 als angemessen. Indessen ist vom Gericht weder eine Schätzung über allenfalls entstandene Spesen vorzunehmen noch ist zusätzlich zum Honorar von CHF 2'500.00 eine Mehrwertsteuer geschuldet, selbst wenn die Berufungsbeklagte mehrwertsteuerpflichtig wäre (vgl. dazu ausführlich KGEBL 400 19 196 E. 10.2 ). Infolgedessen ist der Berufungskläger zu verpflichten, der Berufungsbeklagten eine Parteientschädigung in Höhe von CHF 2'500.00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