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2021 266 vom 15. März 2022</w:t>
      </w:r>
    </w:p>
    <w:p>
      <w:r>
        <w:t>BL Gerichte, 2022-03-15, DE</w:t>
      </w:r>
    </w:p>
    <w:p>
      <w:r>
        <w:rPr>
          <w:b/>
        </w:rPr>
        <w:t xml:space="preserve">Quelle: </w:t>
      </w:r>
      <w:r>
        <w:t>https://mcp.opencaselaw.ch/entscheid/bl_gerichte_400_2021_266</w:t>
      </w:r>
    </w:p>
    <w:p>
      <w:r>
        <w:t>FR: BL_GERICHTE 400 2021 266 du 15 mars 2022</w:t>
      </w:r>
    </w:p>
    <w:p>
      <w:r>
        <w:t>IT: BL_GERICHTE 400 2021 266 del 15 marzo 2022</w:t>
      </w:r>
    </w:p>
    <w:p>
      <w:pPr>
        <w:pStyle w:val="Heading2"/>
      </w:pPr>
      <w:r>
        <w:t>Regeste</w:t>
      </w:r>
    </w:p>
    <w:p>
      <w:r>
        <w:t>Eheschutz</w:t>
      </w:r>
    </w:p>
    <w:p>
      <w:pPr>
        <w:pStyle w:val="Heading2"/>
      </w:pPr>
      <w:r>
        <w:t>Erwägungen</w:t>
      </w:r>
    </w:p>
    <w:p>
      <w:r>
        <w:rPr>
          <w:b/>
        </w:rPr>
        <w:t>E. 6</w:t>
      </w:r>
    </w:p>
    <w:p>
      <w:r>
        <w:t>Abschliessend ist über die Verteilung der Prozesskosten zu befinden. Gemäss Art. 106 Abs. 1 ZPO werden die Prozesskosten der unterliegenden Partei auferlegt, wobei im Falle eines Nichteintretensentscheids die klagende bzw. im Rechtsmittelverfahren die berufungsklagende Partei als unterliegend gilt. Entsprechend dem Ausgang des vorliegenden Verfahrens sind die Prozesskosten vollumfänglich dem Ehemann aufzuerlegen. Dieser hat demnach die Entscheidgebühr, welche in Anwendung von § 9 Abs. 1 i.V.m. § 8 Abs. 1 lit. h GebT auf CHF 2'000.00 festgesetzt wird, zu tragen. Desgleichen gehen die mit Honorarnote des Vertreters der Ehefrau vom 13. Januar 2022 geltend gemachten Aufwendungen von insgesamt 10.42 Stunden zu CHF 280.00 und 6.24 Stunden zu CHF 187.00 resp. CHF 3’486.70 zuzüglich Auslagen von CHF 18.40 und Mehrwertsteuer von CHF 269.90, total CHF 3’775.00, zu seinen Lasten, zumal diese Parteientschädigung tarifkonform ist und angemessen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