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2019-05-29-vv-3 vom 29. Mai 2019</w:t>
      </w:r>
    </w:p>
    <w:p>
      <w:r>
        <w:t>BL Gerichte, 2019-05-29, DE</w:t>
      </w:r>
    </w:p>
    <w:p>
      <w:r>
        <w:rPr>
          <w:b/>
        </w:rPr>
        <w:t xml:space="preserve">Quelle: </w:t>
      </w:r>
      <w:r>
        <w:t>https://mcp.opencaselaw.ch/entscheid/bl_gerichte_2019-05-29-vv-3</w:t>
      </w:r>
    </w:p>
    <w:p>
      <w:r>
        <w:t>FR: BL_GERICHTE 2019-05-29-vv-3 du 29 mai 2019</w:t>
      </w:r>
    </w:p>
    <w:p>
      <w:r>
        <w:t>IT: BL_GERICHTE 2019-05-29-vv-3 del 29 maggio 2019</w:t>
      </w:r>
    </w:p>
    <w:p>
      <w:pPr>
        <w:pStyle w:val="Heading2"/>
      </w:pPr>
      <w:r>
        <w:t>Regeste</w:t>
      </w:r>
    </w:p>
    <w:p>
      <w:r>
        <w:t>Nicht vorbehaltlose Erteilung der Willensvollstreckerbescheinigung</w:t>
      </w:r>
    </w:p>
    <w:p>
      <w:pPr>
        <w:pStyle w:val="Heading2"/>
      </w:pPr>
      <w:r>
        <w:t>Erwägungen</w:t>
      </w:r>
    </w:p>
    <w:p>
      <w:r>
        <w:rPr>
          <w:b/>
        </w:rPr>
        <w:t>E. 1</w:t>
      </w:r>
    </w:p>
    <w:p>
      <w:r>
        <w:t>Die Sachurteilsvoraussetzungen der verwaltungsgerichtlichen Beschwerde nach § 43 ff. des Gesetzes über die Verfassungs- und Verwaltungsprozessordnung (VPO) vom 16. Dezember 1993 sind erfüllt und geben zu keinen Bemerkungen Anlass. Demzufolge ist auf die vorliegende Beschwerde einzutreten.</w:t>
      </w:r>
    </w:p>
    <w:p>
      <w:r>
        <w:rPr>
          <w:b/>
        </w:rPr>
        <w:t>E. 2</w:t>
      </w:r>
    </w:p>
    <w:p>
      <w:r>
        <w:t>Bei der Beurteilung der verwaltungsgerichtlichen Beschwerde ist die Kognition des Kan- tonsgerichts gemäss § 45 Abs. 1 lit. a und b VPO darauf beschränkt, den angefochtenen Ent- scheid hinsichtlich allfälliger Rechtsverletzungen zu überprüfen bzw. zu prüfen, ob der Beschwer- degegner ein allfälliges Ermessen rechtsfehlerhaft ausgeübt hat. Im Weiteren kann beurteilt wer- den, ob dieser den Sachverhalt unrichtig oder unvollständig festgestellt hat. Die Überprüfung der Angemessenheit dagegen ist dem Kantonsgericht verwehrt (§ 45 Abs. 1 lit. c VPO e contrario).</w:t>
      </w:r>
    </w:p>
    <w:p>
      <w:r>
        <w:rPr>
          <w:b/>
        </w:rPr>
        <w:t>E. 3</w:t>
      </w:r>
    </w:p>
    <w:p>
      <w:r>
        <w:t>Auflage, Basel 2015, N 1 f. zu Art. 517 ZGB; HANS RAINER KÜNZLE, in: Breitschmid/Jungo [Hrsg.], Handkommentar zum Schweizer Privatrecht, Erbrecht, 3. Auflage, Zürich/Basel/Genf 2016, N 1 zu Art. 517 - 518 ZGB; KLAUS BÜRGI, in: Kren Kostkiewicz/Wolf/Stutz/Fankhauser [Hrsg.], ZGB Kommentar, 3. Auflage, Zürich 2016, N 1 zu Art. 517 ZGB). Zweck der Willensvoll- streckung ist in erster Linie die generelle Sicherstellung des schnellen und zuverlässigen Vollzugs der angeordneten Massnahmen, Vermächtnisse und Teilungsvorschriften (vgl. KARRER/ VOGT/LEU, a.a.O., N 3 zu Vor Art. 517 - 518 ZGB; CHRIST/EICHNER, a.a.O., N 3 f. zu Art. 517 ZGB).</w:t>
      </w:r>
    </w:p>
    <w:p>
      <w:r>
        <w:t>5.2 Zulässig ist die Ernennung eines oder mehrerer Ersatzvollstrecker durch den Erblasser für den Fall, dass der erstgenannte Kandidat das Amt nicht übernehmen kann oder will bzw. vor Beendigung ausscheidet (vgl. KARRER/VOGT/LEU, a.a.O., N 6 zu Art. 517 ZGB). Ernennbar sind handlungsfähige Personen, und zwar sowohl natürliche wie auch juristische Personen (vgl. KÜNZLE, a.a.O., N 5 zu Art. 517 - 518 ZGB; KARRER/VOGT/LEU, a.a.O., N 7 zu Art. 517 ZGB). Die Ernennung ist von Amtes wegen mitzuteilen, d.h. die Mitteilung muss durch eine Behörde erfolgen. Die zuständige kantonale Behörde setzt dem Angefragten eine Frist von 14 Tagen (Art. 517 Abs. 2 ZGB; Urteil des Bundesgerichts 5A_701/2016 vom 6. April 2017 E. 4.1 KÜNZLE, a.a.O., N 10 zu Art. 517 - 518 ZGB). Bei nachträglichem Wegfall des Willensvollstreckers hat die Behörde im gleichen Verfahren den allfällig bezeichneten Ersatzvollstrecker zu benachrichtigen (vgl. KARRER/VOGT/LEU, a.a.O., N 11 zu Art. 517 ZGB). Die Mitteilung muss auch dann erfolgen,</w:t>
      </w:r>
    </w:p>
    <w:p>
      <w:r>
        <w:t>Seite 5 http://www.bl.ch/kantonsgericht wenn der Behörde die letztwillige Verfügung ungültig oder anfechtbar erscheint oder wenn meh- rere Verfügungen vorliegen und in einer jüngeren die frühere Ernennung eines Willensvollstre- ckers widerrufen wird. Die Behörde hat keine Kognitionsbefugnis, ob die Einsetzung des Willens- vollstreckers rechtsgültig ist oder nicht; dies ist Sache des ordentlichen Richters (vgl. KARRER/VOGT/LEU, a.a.O., N 11 zu Art. 517 ZGB). Für die Ernennung des Willensvollstre- ckers ist die behördliche Mitteilung nicht konstitutiv, da die Ernennung rechtsgültig durch Verfü- gung von Todes wegen erfolgt; die deklaratorische behördliche Mitteilung setzt lediglich das ge- setzliche Annahmeverfahren in Gang (vgl. KARRER/VOGT/LEU, a.a.O., N 14 zu Art. 517 ZGB). Die Annahme ist auch dann gültig, wenn die letztwillige Verfügung als ungültig oder anfechtbar be- trachtet werden kann (BGE 74 I 423; Urteil des Verwaltungsgerichts Zürich vom 4. Juli 2018 [SR.2017.00009] E. 3.2; KÜNZLE, a.a.O., N 14 zu Art. 517 - 518 ZGB). Durch die amtliche Mittei- lung und Annahmeerklärung ist die Willensvollstrecker-Einsetzung gültig zustande gekommen und der Willensvollstrecker hat von Bundesrechts wegen unter anderem die Pflicht, sofort nach Annahme mit der Arbeit zu beginnen und diese auch bei möglicher Ungültigkeit des Testaments bzw. bereits laufendem Ungültigkeitsprozess solange fortzuführen, bis die Ungültigkeit des Tes- taments gerichtlich festgestellt ist (vgl. BGE 91 II 17 E. 3; KARRER/VOGT/LEU, a.a.O., N 16 zu Art. 518 ZGB). Die Rechte und Pflichten des Willensvollstreckers sind eingeschränkt, wenn dieser die potentielle oder effektive Ungültigkeit einer Verfügung von Todes wegen oder die Verletzung von Pflichtteilsrechten feststellt, wenn die Einsetzung der Stellung des Willensvollstreckers von einem Berechtigten angefochten ist, wenn eine Ungültigkeits- (Art. 519 ff. ZGB) oder Herabset- zungsklage (Art. 522 ff. ZGB) eingereicht ist oder wenn die Aufnahme des öffentlichen Inventars (Art. 580 ff. ZGB) verlangt worden ist. Solange diese Unsicherheiten bestehen, darf der Willens- vollstrecker die testamentarischen Anordnungen nicht unbesehen ausführen, sondern hat sich je nach den Umständen auf die wirklich notwendigen Verwaltungshandlungen zu beschränken und in der Regel auf Verfügungshandlungen zu verzichten (vgl. zum Ganzen: KARRER/VOGT/LEU, a.a.O., N 20 zu Art. 518 ZGB mit weiteren Hinweisen; CHRIST/EICHNER, a.a.O. N 28 zu Art. 517 ZGB). Im vorliegenden Fall ist der erste Willensvollstrecker zurückgetreten, was jederzeit und ohne Angabe von Gründen möglich ist (vgl. KARRER/VOGT/LEU, a.a.O., N 25 zu Art. 517 ZGB mit weiteren Hinweisen). In der Folge hat die (Ersatz-)Willensvollstreckerin die Annahme des Amtes erklärt und ersuchte um Ausstellung des Willensvollstreckerzeugnisses.</w:t>
      </w:r>
    </w:p>
    <w:p>
      <w:r>
        <w:t>5.3.1 Der Willensvollstrecker hat Anspruch auf ein sog. Willensvollstreckerzeugnis, d.h. auf eine behördliche Legitimationsurkunde über seine Stellung (BGE 91 II 177 E. 1). Das Zeugnis kann schon vor der Testamentseröffnung ausgestellt werden und ist auch dann abzugeben, wenn eine Einsprache nach Art. 559 ZGB erfolgt oder eine Ungültigkeitsklage hängig ist (vgl. KARRER/ VOGT/LEU, a.a.O., N 18 zu Art. 517 ZGB; CHRIST/EICHNER, in: Abt/Weibel [Hrsg.], Praxiskommen- tar zum Erbrecht, 3. Auflage, Basel 2015, N 20 zu Art. 517 ZGB). Zuständig für die Ausstellung ist normalerweise die Behörde, welche nach Art. 556 - 559 ZGB die letztwilligen Verfügungen eröffnet und Erbbescheinigungen ausstellt (BGE 91 II 177 E. 2), im Kanton Basel-Landschaft ist dies die Zivilrechtsverwaltung (§ 105 Abs. 1 lit. c des Gesetzes über die Einführung des Zivilge- setzbuches [EG ZGB] vom 16. November 2006). Das Willensvollstreckerzeugnis hat nur dekla- ratorischen Charakter und dient dem Willensvollstrecker als Beweis für seine Ernennung und Annahme der Funktion (vgl. Urteile des Bundesgerichts 5A_635/2015 vom 21. Juni 2016 E. 2.1; 5A_257/2009 vom 26. Oktober 2009 E. 1.4). Das Ausmass von Rechten und Pflichten ergibt sich</w:t>
      </w:r>
    </w:p>
    <w:p>
      <w:r>
        <w:t>Seite 6 http://www.bl.ch/kantonsgericht aber nicht aus dem Willensvollstreckerzeugnis, sondern aus der letztwilligen Verfügung und dem Gesetz (vgl. KARRER/VOGT/LEU, a.a.O., N 18 zu Art. 517 ZGB; CHRIST/EICHNER, a.a.O. N 19 zu Art. 517 ZGB). Der Willensvollstrecker muss möglichst früh über den Legitimationsausweis ver- fügen, daher ist ihm dieser so früh wie möglich, und auch wenn die Gültigkeit der einsetzenden Verfügung zweifelhaft ist, auszustellen. In einem solchen Fall muss jedoch die Bescheinigung einen entsprechenden Vorbehalt aufnehmen und die bestrittenen Punkte vermerken (vgl. CHRIST/ EICHNER, a.a.O. N 20 zu Art. 517 ZGB, BGE 91 II 177 E. 3).</w:t>
      </w:r>
    </w:p>
    <w:p>
      <w:r>
        <w:t>5.3.2 Der Inhalt des Willensvollstreckerzeugnisses wird vom kantonalen Recht bestimmt. Als Minimalerfordernis muss es erwähnen, dass eine handlungsfähige Person durch Testament des Erblassers vom [Datum] zum Willensvollstrecker ernannt worden ist und das Mandat angenom- men hat; eine vollständige Wiedergabe des gesamten Testamentsinhalts ist nicht erforderlich (vgl. KARRER/VOGT/LEU, a.a.O., N 19 zu Art. 517 ZGB). Sind nach der letztwilligen Verfügung die Rechte und Pflichten des Willensvollstreckers eingeschränkt, oder ist der ausstellenden Behörde eine Einsprache nach Art. 559 ZGB oder eine gegen das Testament bereits eingeleitete Ungül- tigkeitsklage bekannt, so muss dies im Willensvollstreckerzeugnis erwähnt werden, damit das Zeugnis nicht eine unumstrittene oder rechtskräftige Willensvollstreckung andeutet (BGE 91 II 177 E. 3; KARRER/VOGT/LEU, a.a.O., N 19 zu Art. 517 ZGB).</w:t>
      </w:r>
    </w:p>
    <w:p>
      <w:r>
        <w:t>6.1 Gestützt auf die vorstehenden Ausführungen kann somit festgehalten werden, dass so- wohl die soeben zitierten Lehrmeinungen als auch das Bundesgericht davon ausgehen, dass jeder Umstand, der eine gerichtliche Entscheidung über die Erbschaft erwarten lässt, so insbe- sondere eine Einsprache oder allfällige Klage, im Legitimationsausweis der Willensvollstreckerin oder des Willensvollstreckers vorzubehalten ist. Wie die Vorinstanz zutreffend dargelegt hat, ist dieses Vorgehen nicht ausschliesslich auf Fälle beschränkt, in denen die Einsetzung der Willens- vollstreckerin oder des Willensvollstreckers umstritten ist: Das Bundesgericht hat sich im Leitent- scheid BGE 91 II 177 zwar mit einem Streit über die Einsetzung eines Willensvollstreckers be- fasst, doch hat es in seinen Erwägungen die Frage zum Inhalt einer Willensvollstreckerbeschei- nigung nicht auf solche Fälle beschränkt, sondern in grundsätzlicher Weise festgehalten, dass es angezeigt ist, in einem Legitimationsausweis der Willensvollstreckerin oder des Willensvoll- streckers die Bestreitung der Gültigkeit des Testaments und gegebenenfalls im Besonderen der darin vorgesehenen Willensvollstreckung zu vermerken, damit der Ausweis sich in den Augen Dritter nicht als Beleg über eine rechtskräftig feststehende Willensvollstreckung darbiete (E. 3). Vor diesem Hintergrund kann mit dem Beschwerdegegner festgehalten werden, dass die Vorbe- halte auf der Willensvollstreckerbescheinigung aus Gründen der Transparenz anzubringen sind. Damit geht der Einwand der Beschwerdeführerin, dass sich dieses Vorgehen nur im Fall von streitigen Willensvollstreckereinsetzungen rechtfertigen würde, ins Leere. Vorliegend wurde die Einsprache nicht zurückgezogen, nachdem die Ersatzwillensvollstreckerin ihr Amt antrat, und da- mit blieb auch der Antrag um Anordnung einer Erbschaftsverwaltung stehen. Demzufolge hat das Erbschaftsamt den Ausweis zu Recht nicht vorbehaltlos ausgestellt, sondern in Nachachtung der Rechtslage die bestrittenen Punkte resp. den Vorbehalt einer (Ungültigkeits-)Klage darauf ange- bracht.</w:t>
      </w:r>
    </w:p>
    <w:p>
      <w:r>
        <w:t>Seite 7 http://www.bl.ch/kantonsgericht 6.2 Der Argumentation der Beschwerdeführerin, wonach sie aufgrund der angebrachten Hinweise auf dem Legitimationsausweis in der Ausübung ihrer Funktion behindert werde und diese deshalb nicht zu vermerken seien, kann aus folgenden Gründen nicht gefolgt werden: Ge- mäss Lehre und bundesgerichtlicher Rechtsprechung wird im Hinblick auf die Verwaltungs- und Verfügungsbefugnisse Zurückhaltung der Willensvollstreckerin oder des Willensvollstreckers ver- langt, soweit die Gültigkeit der einsetzenden Verfügung – was vorliegend zutrifft – zweifelhaft ist. In solchen Fällen soll die Willensvollstreckerin oder der Willensvollstrecker nur sichernde oder sonstige zur ordentlichen Verwaltung gehörende Massnahmen treffen und Veräusserungen nur dann vornehmen, wenn dazu eine dringende Veranlassung besteht (BGE 91 II 177 E. 3). Der Auffassung der Beschwerdeführerin kann damit entgegengehalten werden, dass im Fall von Un- sicherheiten betreffend die testamentarischen Anordnungen die zivilrechtlichen Grundlagen – und nicht die Hinweise auf dem entsprechenden Legitimationsausweis – der Willensvollstreckerin Beschränkungen auferlegen. Daran ändert der Umstand, dass die F.____ wegen jener Anmer- kungen in der Bescheinigung besondere Vorsicht walten lässt und die von der Willensvollstrecke- rin gewollten Dispositionen nicht ausführt, nichts.</w:t>
      </w:r>
    </w:p>
    <w:p>
      <w:r>
        <w:t>6.3 Zusammenfassend kann somit festgehalten werden, dass im vorliegenden Fall kein An- spruch auf Ausstellung einer Willensvollstreckerbescheinigung ohne Anmerkungen besteht. Demzufolge erweist sich die Beschwerde als unbegründet.</w:t>
      </w:r>
    </w:p>
    <w:p>
      <w:r>
        <w:rPr>
          <w:b/>
        </w:rPr>
        <w:t>E. 7</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somit der unterlegenen Beschwerdeführerin aufzuerlegen und mit dem geleisteten Kostenvorschuss in derselben Höhe zu verrechnen. Die Parteikosten sind wett- zuschlagen (§ 21 Abs. 1 und 2 VPO).</w:t>
      </w:r>
    </w:p>
    <w:p>
      <w:r>
        <w:t>Seite 8 http://www.bl.ch/kantonsgericht Demgemäss wird e r k a n n t :</w:t>
      </w:r>
    </w:p>
    <w:p>
      <w:r>
        <w:t>://: 1. Die Beschwerde wird abgewiesen.</w:t>
      </w:r>
    </w:p>
    <w:p>
      <w:r>
        <w:t>2. Die Verfahrenskosten in der Höhe von Fr. 1'400.-- werden der Beschwer- deführerin auferlegt und mit dem Kostenvorschuss in der Höhe von Fr. 1'400.-- verrechnet.</w:t>
      </w:r>
    </w:p>
    <w:p>
      <w:r>
        <w:t>3. Die Parteikosten werden wettgeschlagen.</w:t>
      </w:r>
    </w:p>
    <w:p>
      <w:r>
        <w:t>Präsidentin</w:t>
      </w:r>
    </w:p>
    <w:p>
      <w:r>
        <w:t>Gerichtsschreiberin</w:t>
      </w:r>
    </w:p>
    <w:p>
      <w:r>
        <w:t>Gegen diesen Entscheid wurde am 09.10.2019 Beschwerde beim Bundesgericht (Verfahrens- nummer 5A_804/2019)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