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2018-11-19-vv-1 vom 19. November 2018</w:t>
      </w:r>
    </w:p>
    <w:p>
      <w:r>
        <w:t>BL Gerichte, 2018-11-19, DE</w:t>
      </w:r>
    </w:p>
    <w:p>
      <w:r>
        <w:rPr>
          <w:b/>
        </w:rPr>
        <w:t xml:space="preserve">Quelle: </w:t>
      </w:r>
      <w:r>
        <w:t>https://mcp.opencaselaw.ch/entscheid/bl_gerichte_2018-11-19-vv-1</w:t>
      </w:r>
    </w:p>
    <w:p>
      <w:r>
        <w:t>FR: BL_GERICHTE 2018-11-19-vv-1 du 19 novembre 2018</w:t>
      </w:r>
    </w:p>
    <w:p>
      <w:r>
        <w:t>IT: BL_GERICHTE 2018-11-19-vv-1 del 19 novembre 2018</w:t>
      </w:r>
    </w:p>
    <w:p>
      <w:pPr>
        <w:pStyle w:val="Heading2"/>
      </w:pPr>
      <w:r>
        <w:t>Regeste</w:t>
      </w:r>
    </w:p>
    <w:p>
      <w:r>
        <w:t>Ausstandsverfahren / Anspruch auf ein gesetzmässig besetztes Gericht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Oktober 2018 die kostenfällige Abweisung der Beschwerde, soweit darauf einzutreten sei.</w:t>
      </w:r>
    </w:p>
    <w:p>
      <w:r>
        <w:t>E. Das Kantonsgericht hat von der Vorinstanz die Verfahrensakten beigezogen. Von einer Einladung zur Stellungnahme wurde abgesehen.</w:t>
      </w:r>
    </w:p>
    <w:p>
      <w:r>
        <w:t>Das Kantonsgericht zieht i n E r w ä g u n g :</w:t>
      </w:r>
    </w:p>
    <w:p>
      <w:r>
        <w:t>1.1 Gemäss Art. 50 Abs. 2 der Schweizerischen Zivilprozessordnung (ZPO) vom 19. Dezember 2008 i.V.m. Art. 319 lit. b Ziff. 1 ZPO steht gegen erstinstanzliche Entscheide über strittige Ausstandsgesuche das Rechtsmittel der Beschwerde nach Art. 319 ff. ZPO offen. Zuständig für die Beurteilung ist die Abteilung Verfassungs- und Verwaltungsrecht des Kan- tonsgerichts (§ 38 Abs. 2 des Gesetzes über die Organisation der Gerichte [GOG] vom 22. Februar 2001 in fine), wobei die präsidierende Person durch Präsidialentscheid über die</w:t>
      </w:r>
    </w:p>
    <w:p>
      <w:r>
        <w:t>Seite 3 http://www.bl.ch/kantonsgericht Beschwerde entscheidet (§ 1 Abs. 3 lit. f des Gesetzes über die Verfassungs- und Verwal- tungsprozessordnung [VPO] vom 16. Dezember 1993 i.V.m. § 43 Abs. 2bis lit. b VPO).</w:t>
      </w:r>
    </w:p>
    <w:p>
      <w:r>
        <w:t>1.2 Da es sich beim selbständig eröffneten Entscheid über ein Ausstandsbegehren um eine prozessleitende Verfügung handelt, beträgt die Beschwerdefrist zehn Tage (Art. 321 Abs. 2 ZPO; DAVID RÜETSCHI, in: Hausheer/Walter [Hrsg.], Berner Kommentar zur Schweizerischen Zivilprozessordnung, Bern 2012, Art. 50 ZPO Rz. 5). Der Entscheid wurde den Beschwerdefüh- rern am 17. September 2018 zugestellt, womit die Frist gemäss Art. 142 Abs. 1 ZPO am</w:t>
      </w:r>
    </w:p>
    <w:p>
      <w:r>
        <w:rPr>
          <w:b/>
        </w:rPr>
        <w:t>E. 27</w:t>
      </w:r>
    </w:p>
    <w:p>
      <w:r>
        <w:t>September 2018 einen Zeitaufwand von 4.75 Stunden à Fr. 375.-- sowie eine Spesenpau- schale von 3 % geltend. Die Kostennote ist nicht tarifkonform. Gemäss § 2 Abs. 1 der vorlie- gend anwendbaren Tarifordnung für die Anwältinnen und Anwälte (TO) vom 17. November 2003 wird das Honorar in Beschwerdesachen nach dem Zeitaufwand berechnet. Der Honorar-</w:t>
      </w:r>
    </w:p>
    <w:p>
      <w:r>
        <w:t>Seite 6 http://www.bl.ch/kantonsgericht ansatz beträgt je nach Schwierigkeit und Bedeutung der Sache Fr. 200.-- - Fr. 350.-- pro Stunde (§ 3 Abs. 1 TO). Nur bei speziellen Verhältnissen kann nach § 4 TO ein Zuschlag erhoben wer- den. Der vorliegend zum Ansatz gebrachte Stundentarif von Fr. 375.-- übersteigt ohne Begrün- dung den regulären Tarifrahmen. Soweit weiter eine Spesenpauschale von 3 % berechnet wird, widerspricht dies der Vorschrift von § 16 Abs. 1 TO, wonach für Auslagen der tatsächliche Auf- wand in Rechnung zu stellen ist. Weiter gilt es zu berücksichtigen, dass der Aufwand für die verspäteten Eingaben nicht entschädigungspflichtig ist. Insgesamt erscheint unter Berücksichti- gung der vorstehenden massgeblichen Aspekte ein Stundenaufwand von 3 Stunden à Fr. 250.-- gerechtfertigt. Die Auslagen werden ermessensweise auf Fr. 20.-- festgesetzt. Daraus resultiert eine reduzierte Parteientschädigung von Fr. 770.-- (inkl. Auslagen). Mehrwertsteuer wird keine ausgewiesen. Soweit die Honorarrechnung über diesen Betrag hinausgeht, ist die Beschwerdegegnerin nicht entschädigungspflichtig.</w:t>
      </w:r>
    </w:p>
    <w:p>
      <w:r>
        <w:t>6.3 Der Rechtsvertreter der Beschwerdegegnerin hat keine Honorarrechnung eingereicht, weshalb das Gericht die Parteientschädigung von Amtes wegen nach Ermessen festsetzt (§ 18 Abs. 1 TO). Der Aufwand für die Klienteninstruktion und die Erstellung der Beschwerdeantwort wird auf rund 8 Stunden geschätzt und ein mittlerer Stundenansatz von Fr. 250.-- angerechnet. Nach Hinzurechnung der Auslagen von schätzungsweise Fr. 20.-- und der Mehrwertsteuer be- trägt die Parteientschädigung Fr. 2'175.55 (inkl. Auslagen und 7.7 % MWST).</w:t>
      </w:r>
    </w:p>
    <w:p>
      <w:r>
        <w:t>6.4 Beim vorliegenden Verfahrensausgang ist umfangmässig von einem gleichmässigen Unterliegen auszugehen. Es ist je eine hälftige Parteientschädigung zuzusprechen, wobei die gegenseitigen Forderungen zu verrechnen sind. Dementsprechend haben die Beschwerdefüh- rer der Beschwerdegegnerin eine Parteientschädigung in der Höhe von Fr. 702.75 (inkl. Ausla- gen und 7.7 % MWST) zu bezahlen.</w:t>
      </w:r>
    </w:p>
    <w:p>
      <w:r>
        <w:t>Seite 7 http://www.bl.ch/kantonsgericht Demgemäss wird e r k a n n t :</w:t>
      </w:r>
    </w:p>
    <w:p>
      <w:r>
        <w:t>://: 1. Die Beschwerde wird gutgeheissen, soweit darauf eingetreten wird. Der angefochtene Entscheid wird aufgehoben und die Angelegenheit wird zur neuen Beurteilung an die Vorinstanz zurückgewiesen.</w:t>
      </w:r>
    </w:p>
    <w:p>
      <w:r>
        <w:t>2. Es werden keine Gerichtskosten erhoben. Der geleistete Kostenvor- schuss in der Höhe von Fr. 500.-- wird den Beschwerdeführern zurücker- stattet.</w:t>
      </w:r>
    </w:p>
    <w:p>
      <w:r>
        <w:t>3. Die Beschwerdeführer haben der Beschwerdegegnerin eine Parteient- schädigung in der Höhe von Fr. 702.75 (inkl. Auslagen und 7.7 % MWST) zu bezahlen.</w:t>
      </w:r>
    </w:p>
    <w:p>
      <w:r>
        <w:t>Präsidentin</w:t>
      </w:r>
    </w:p>
    <w:p>
      <w:r>
        <w:t>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