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2018-09-13-sv-1 vom 13. September 2018</w:t>
      </w:r>
    </w:p>
    <w:p>
      <w:r>
        <w:t>BL Gerichte, 2018-09-13, DE</w:t>
      </w:r>
    </w:p>
    <w:p>
      <w:r>
        <w:rPr>
          <w:b/>
        </w:rPr>
        <w:t xml:space="preserve">Quelle: </w:t>
      </w:r>
      <w:r>
        <w:t>https://mcp.opencaselaw.ch/entscheid/bl_gerichte_2018-09-13-sv-1</w:t>
      </w:r>
    </w:p>
    <w:p>
      <w:r>
        <w:t>FR: BL_GERICHTE 2018-09-13-sv-1 du 13 septembre 2018</w:t>
      </w:r>
    </w:p>
    <w:p>
      <w:r>
        <w:t>IT: BL_GERICHTE 2018-09-13-sv-1 del 13 settembre 2018</w:t>
      </w:r>
    </w:p>
    <w:p>
      <w:pPr>
        <w:pStyle w:val="Heading2"/>
      </w:pPr>
      <w:r>
        <w:t>Regeste</w:t>
      </w:r>
    </w:p>
    <w:p>
      <w:r>
        <w:t>Berufliche Massnahmen wegen drohender Invalidität; Neuanmeldung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Gemäss Art. 69 Abs. 1 lit. a des Bundesgesetzes über die Invalidenversicherung (IVG) vom 19. Juni 1959 können Verfügungen der kantonalen IV-Stellen direkt vor dem Versiche- rungsgericht am Ort der IV-Stelle angefochten werden. Anfechtungsobjekt des vorliegenden Verfahrens bildet eine Verfügung der IV-Stelle Basel-Landschaft, sodass die örtliche Zuständig- keit des Kantonsgerichts Basel-Landschaft zu bejahen ist. Laut § 54 Abs. 1 lit. b des Gesetzes über die Verfassungs- und Verwaltungsprozessordnung (VPO) vom 16. Dezember 1993 beur- teilt das Kantonsgericht als Versicherungsgericht als einzige gerichtliche Instanz des Kantons Beschwerden gegen Verfügungen der kantonalen IV-Stelle. Es ist somit auch sachlich zur Be- handlung der vorliegenden Beschwerde zuständig. Auf die frist- und formgerecht erhobene Be- schwerde vom 27. April 2018 ist demnach einzutreten.</w:t>
      </w:r>
    </w:p>
    <w:p>
      <w:r>
        <w:rPr>
          <w:b/>
        </w:rPr>
        <w:t>E. 2</w:t>
      </w:r>
    </w:p>
    <w:p>
      <w:r>
        <w:t>Als Invalidität gilt nach Art. 8 des Bundesgesetzes über den Allgemeinen Teil des So- zialversicherungsrechts (ATSG) vom 6. Oktober 2000 die voraussichtlich bleibende oder länge- re Zeit dauernde ganze oder teilweise Erwerbsunfähigkeit. Anspruch auf eine ganze Rente be- steht, wenn die versicherte Person zu mindestens 70 %, auf eine Dreiviertelsrente, wenn sie zu mindestens 60 %, auf eine halbe Rente, wenn sie zu mindestens 50 % und auf eine Viertelsren- te, wenn sie zu mindestens 40 % invalid ist (Art. 28 Abs. 2 IVG). Invalide oder von einer Invalidi- tät bedrohte Versicherte haben nach Art. 8 Abs. 1 IVG Anspruch auf Eingliederungsmassnah- men, soweit diese notwendig und geeignet sind, die Erwerbsfähigkeit wieder herzustellen, zu erhalten oder zu verbessern (lit. a) und die Voraussetzungen für den Anspruch auf die einzel- nen Massnahmen erfüllt sind (lit. b). Der Anspruch auf Eingliederungsmassnahmen besteht unabhängig von der Ausübung einer Erwerbstätigkeit vor Eintritt der Invalidität. Bei der Festle- gung der Massnahmen ist die gesamte noch zu erwartende Dauer des Erwerbslebens zu be- rücksichtigen (Art. 8 Abs. 1bis IVG). Die Eingliederungsmassnahmen umfassen gemäss Art. 8 Abs. 3 lit. b IVG insbesondere Massnahmen beruflicher Art wie Berufsberatung (Art. 15 IVG), erstmalige berufliche Ausbildung (Art. 16 IVG), Umschulung (Art. 17 IVG) und Arbeitsvermitt- lung (Art. 18 IVG). Drohende Invalidität liegt vor, wenn der Eintritt einer Erwerbsunfähigkeit überwiegend wahrscheinlich ist. Der Zeitpunkt des Eintritts der Erwerbsunfähigkeit ist unerheb- lich (Art. 1 novies der Verordnung über die Invalidenversicherung [IVV] vom 17. Januar 1961).</w:t>
      </w:r>
    </w:p>
    <w:p>
      <w:r>
        <w:rPr>
          <w:b/>
        </w:rPr>
        <w:t>E. 3</w:t>
      </w:r>
    </w:p>
    <w:p>
      <w:r>
        <w:t>Die ausserordentlichen Kosten werden wettgeschlagen.</w:t>
      </w:r>
    </w:p>
    <w:p>
      <w:r>
        <w:t>http://www.bl.ch/kantonsgericht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