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2018-07-24-sr-2 vom 24. Juli 2018</w:t>
      </w:r>
    </w:p>
    <w:p>
      <w:r>
        <w:t>BL Gerichte, 2018-07-24, DE</w:t>
      </w:r>
    </w:p>
    <w:p>
      <w:r>
        <w:rPr>
          <w:b/>
        </w:rPr>
        <w:t xml:space="preserve">Quelle: </w:t>
      </w:r>
      <w:r>
        <w:t>https://mcp.opencaselaw.ch/entscheid/bl_gerichte_2018-07-24-sr-2</w:t>
      </w:r>
    </w:p>
    <w:p>
      <w:r>
        <w:t>FR: BL_GERICHTE 2018-07-24-sr-2 du 24 juillet 2018</w:t>
      </w:r>
    </w:p>
    <w:p>
      <w:r>
        <w:t>IT: BL_GERICHTE 2018-07-24-sr-2 del 24 luglio 2018</w:t>
      </w:r>
    </w:p>
    <w:p>
      <w:pPr>
        <w:pStyle w:val="Heading2"/>
      </w:pPr>
      <w:r>
        <w:t>Regeste</w:t>
      </w:r>
    </w:p>
    <w:p>
      <w:r>
        <w:t>Nichtanhandnahme des Verfahrens</w:t>
      </w:r>
    </w:p>
    <w:p>
      <w:pPr>
        <w:pStyle w:val="Heading2"/>
      </w:pPr>
      <w:r>
        <w:t>Erwägungen</w:t>
      </w:r>
    </w:p>
    <w:p>
      <w:r>
        <w:rPr>
          <w:b/>
        </w:rPr>
        <w:t>E. 3</w:t>
      </w:r>
    </w:p>
    <w:p>
      <w:r>
        <w:t>Aufl. 2017, vor Art. 30 N 13).</w:t>
      </w:r>
    </w:p>
    <w:p>
      <w:r>
        <w:rPr>
          <w:b/>
        </w:rPr>
        <w:t>E. 3.1</w:t>
      </w:r>
    </w:p>
    <w:p>
      <w:r>
        <w:t>Aktenkundig Strafantrag gestellt hat die Öffentliche Arbeitslosenkasse Baselland. Eine Vertretungskonstellation ist nicht ersichtlich. Obwohl aus der Aktennotiz vom 5. April 2018 her- vorgeht, dass C.____ den Rechtsdienst der Öffentlichen Arbeitslosenkasse Baselland bittet, „Strafanzeige“ zu erstatten, hat die Beschwerdeführerin den Strafantrag in eigenem Namen eingereicht. Entgegen der Prämisse der Beschwerdeführerin kann der Strafantrag nicht ersatz- weise, quasi in öffentlicher Funktion, durch die Arbeitgeberin erfolgen. Zu beurteilen bleibt so- mit, ob die Beschwerdeführerin aus eigenem Recht, d.h. als verletzte Person bzw. Trägerin des angegriffenen Rechtsguts, gehandelt hat und insofern strafantragsberechtigt und beschwerde- legitimiert ist.</w:t>
      </w:r>
    </w:p>
    <w:p>
      <w:r>
        <w:rPr>
          <w:b/>
        </w:rPr>
        <w:t>E. 3.2</w:t>
      </w:r>
    </w:p>
    <w:p>
      <w:r>
        <w:t>Wer Träger des angegriffenen Rechtsguts und somit antragsberechtigt ist, ergibt erst die Auslegung des betreffenden Tatbestands. Gemäss Art. 179ter Abs. 1 StGB macht sich straf- bar, wer als Gesprächsteilnehmer ein nichtöffentliches Gespräch ohne die Einwilligung der an- deren daran Beteiligten auf einen Tonträger aufnimmt. Das durch diese Bestimmung geschützte Rechtsgut ist gemäss bundesgerichtlicher Auslegung die persönliche Geheimsphäre (BGE 108 IV 161 E. 2b; 111 IV 63 E. 2). Das Bundesgericht stellt auf den Wortlaut der Überschrift des Dritten Titels des Besonderen Teils des StGB und den Untertitel in Ziff. 2 ab. Ersterer lautet lapidar „Strafbare Handlungen gegen die Ehre und den Geheim- oder Privatbereich“ und letzte- rer „Strafbare Handlungen gegen den Geheim- oder Privatbereich“. Beim Geheim- oder Privat- bereich handelt es sich um ein Individualrecht. Als Berechtigter kommt daher in erster Linie die</w:t>
      </w:r>
    </w:p>
    <w:p>
      <w:r>
        <w:t>Seite 5</w:t>
      </w:r>
    </w:p>
    <w:p>
      <w:r>
        <w:t>http://www.bl.ch/kantonsgericht natürliche Person in Betracht. Diese kann aber auch als Organ einer juristischen Person Ge- spräche führen mit der Folge, dass allenfalls der Geheimbereich dieser juristischen Person be- rührt ist. Ob einer natürlichen oder juristischen Person das Recht zusteht, Antrag zu stellen, beurteilt sich aber nicht allein danach, ob sie einen schutzwürdigen Geheimbereich besitzt, sondern und vor allem danach, ob und inwieweit dieser geschützt ist (BGE 111 IV 63 E. 3). Beim Aufnehmen von Gesprächen nach Art. 179ter StGB umfasst der Schutzbereich zunächst das nichtöffentliche Gespräch. Ein Gespräch ist dann als nichtöffentlich zu qualifizieren, wenn die Gesprächsteilnehmer in der begründeten Erwartung ein Gespräch führen, dass ein Mithören ohne technische Hilfsmittel nicht möglich ist, wobei sich diese Erwartung einerseits aus dem Ort des Gesprächs und andererseits aus dem Teilnehmerkreis ergeben kann (PETER VON INS/PETER-RENÉ WYDER, Basler Kommentar StGB, 3. Aufl. 2013, Art. 179bis N 12; STEFAN TRECHSEL/MARK PIETH, Praxiskommentar StGB, 3. Aufl. 2017, Art. 179bis N 4). Massgeblich ist die Intention der beteiligten Parteien. Diese spricht in dem Masse für Nichtöffentlichkeit, wie nach den gesamten Umständen anzunehmen ist, dass die beteiligten Parteien vernünftiger- weise nicht davon ausgehen (müssen), dass andere ihre Unterhaltung mithören (GÜNTER STRATEN-WERTH/GUIDO JENNY/FELIX BOMMER, Schweizerisches Strafrecht, Besonderer Teil I,</w:t>
      </w:r>
    </w:p>
    <w:p>
      <w:r>
        <w:rPr>
          <w:b/>
        </w:rPr>
        <w:t>E. 3.3</w:t>
      </w:r>
    </w:p>
    <w:p>
      <w:r>
        <w:t>Im vorliegenden Fall hatte die Beschwerdeführerin durch B.____, später C.____ und zeitweise D.____ als Zuhörer am Gespräch vom 5. April 2018 mit A.____ teilgenommen. Die Einwendung der Staatsanwaltschaft, dass das Gespräch kaum als Handlung von Organen einer juristischen Person angesehen werden könne, vermag die Gesprächsteilnahme der Beschwer- deführerin nicht in Abrede zu stellen. Die involvierten Personen standen sich mithin als ver- schiedene Gesprächsteilnehmer gegenüber. Das Gespräch vom 5. April 2018 war ferner nicht- öffentlich. A.____ ging zwar davon aus, dass das Gespräch ohnehin aufgenommen werde; von einem Mithören Dritter mit technischen Hilfsmitteln kann aufgrund der Umstände vernünftiger- weise aber nicht ausgegangen werden. Dies ergibt sich bereits daraus, dass C.____ mehrmals deutlich gemacht hat, dass sie die Tonaufnahme des Gesprächs vom 5. April 2018 durch den Beschuldigten nicht akzeptiere und notfalls abbrechen werde. Damit bleibt zu beurteilen, ob das Gespräch im privaten Bereich der Beschwerdeführerin geführt worden ist. Ob hierbei nur juristi- sche Personen des privaten oder auch des öffentlichen Rechts den Schutz der Geheim- oder Privatsphäre im Sinne der Art. 179bis ff. StGB beanspruchen können, hat das Bundesgericht bislang offengelassen und kann auch hier dahingestellt bleiben. Selbst bei Bejahung der Frage muss festgestellt werden, dass das Gespräch vom 5. April 2018 kein Privatgespräch war und den Geheim- oder Privatbereich der Beschwerdeführerin klar nicht berührt hat. Wie aus der Aktennotiz vom 5. April 2018 sowie der Telefonnotiz vom 11. April 2018 entnommen werden kann, hatte sich A.____ nach der Überweisung seiner Taggelder der Arbeitslosenversicherung, welche offenbar noch nicht auf seinem Konto gutgeschrieben worden sind, erkundigt. Nachdem B.____ im Gespräch mit A.____ nicht weiterkam, übernahm C.____ das Gespräch und erklärte diesem, dass die Zahlung angewiesen, aber aufgrund eines technischen Problems bei der Ba- sellandschaftlichen Kantonalbank noch nicht ausgelöst worden ist. Zusammengefasst hatte das</w:t>
      </w:r>
    </w:p>
    <w:p>
      <w:r>
        <w:t>Seite 6</w:t>
      </w:r>
    </w:p>
    <w:p>
      <w:r>
        <w:t>http://www.bl.ch/kantonsgericht Gespräch keinen für die Beschwerdeführerin privaten Inhalt zum Gegenstand, womit sie nicht antragsberechtigt ist und ergo im vorstehenden Beschwerdeverfahren keine Parteistellung in- nehat. Mangels Beschwerdelegitimation der Beschwerdeführerin ist auf die Beschwerde somit nicht einzutreten. 4. Gemäss Art. 428 Abs. 1 StPO tragen die Parteien die Kosten des Rechtsmittelver- fahrens nach Massgabe ihres Obsiegens oder Unterliegens. Als unterliegend gilt auch jene Par- tei, auf deren Rechtsmittel nicht eingetreten wird oder die das Rechtsmittel zurückzieht. Aus- gangsgemäss gehen die ordentlichen Kosten des Beschwerdeverfahrens von total CHF 550.00, bestehend aus einer Gerichtsgebühr von CHF 500.00 sowie Auslagen von CHF 50.00, zulasten der unterliegenden Beschwerdeführerin (vgl. § 13 Abs. 1 der Verordnung über die Gebühren der Gerichte, GebT, SGS 170.31), welche zudem ihre Parteikosten selbst zu tragen hat.</w:t>
      </w:r>
    </w:p>
    <w:p>
      <w:r>
        <w:rPr>
          <w:b/>
        </w:rPr>
        <w:t>E. 7</w:t>
      </w:r>
    </w:p>
    <w:p>
      <w:r>
        <w:t>Aufl. 2010, § 12 Rz.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