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2018-05-07-vv-1 vom 7. Mai 2018</w:t>
      </w:r>
    </w:p>
    <w:p>
      <w:r>
        <w:t>BL Gerichte, 2018-05-07, DE</w:t>
      </w:r>
    </w:p>
    <w:p>
      <w:r>
        <w:rPr>
          <w:b/>
        </w:rPr>
        <w:t xml:space="preserve">Quelle: </w:t>
      </w:r>
      <w:r>
        <w:t>https://mcp.opencaselaw.ch/entscheid/bl_gerichte_2018-05-07-vv-1</w:t>
      </w:r>
    </w:p>
    <w:p>
      <w:r>
        <w:t>FR: BL_GERICHTE 2018-05-07-vv-1 du 7 mai 2018</w:t>
      </w:r>
    </w:p>
    <w:p>
      <w:r>
        <w:t>IT: BL_GERICHTE 2018-05-07-vv-1 del 7 maggio 2018</w:t>
      </w:r>
    </w:p>
    <w:p>
      <w:pPr>
        <w:pStyle w:val="Heading2"/>
      </w:pPr>
      <w:r>
        <w:t>Regeste</w:t>
      </w:r>
    </w:p>
    <w:p>
      <w:r>
        <w:t>Fristsäumnis / Gesuch um Wiederherstellung der Frist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Die Verfahrenskosten in der Höhe von Fr. 300.-- werden den Be- schwerdeführern auferlegt.</w:t>
      </w:r>
    </w:p>
    <w:p>
      <w:r>
        <w:rPr>
          <w:b/>
        </w:rPr>
        <w:t>E. 4</w:t>
      </w:r>
    </w:p>
    <w:p>
      <w:r>
        <w:t>Die Parteikosten werden wettgeschlagen.</w:t>
      </w:r>
    </w:p>
    <w:p>
      <w:r>
        <w:t>Präsidentin</w:t>
      </w:r>
    </w:p>
    <w:p>
      <w:r>
        <w:t>Gerichtsschreiber</w:t>
      </w:r>
    </w:p>
    <w:p>
      <w:r>
        <w:t>Gegen diesen Entscheid wurde am 7. Juni 2018 Beschwerde beim Bundesgericht (Verfahrens- nummer 1C_277/2018)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