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2018-04-25-vv-1 vom 25. April 2018</w:t>
      </w:r>
    </w:p>
    <w:p>
      <w:r>
        <w:t>BL Gerichte, 2018-04-25, DE</w:t>
      </w:r>
    </w:p>
    <w:p>
      <w:r>
        <w:rPr>
          <w:b/>
        </w:rPr>
        <w:t xml:space="preserve">Quelle: </w:t>
      </w:r>
      <w:r>
        <w:t>https://mcp.opencaselaw.ch/entscheid/bl_gerichte_2018-04-25-vv-1</w:t>
      </w:r>
    </w:p>
    <w:p>
      <w:r>
        <w:t>FR: BL_GERICHTE 2018-04-25-vv-1 du 25 avril 2018</w:t>
      </w:r>
    </w:p>
    <w:p>
      <w:r>
        <w:t>IT: BL_GERICHTE 2018-04-25-vv-1 del 25 aprile 2018</w:t>
      </w:r>
    </w:p>
    <w:p>
      <w:pPr>
        <w:pStyle w:val="Heading2"/>
      </w:pPr>
      <w:r>
        <w:t>Regeste</w:t>
      </w:r>
    </w:p>
    <w:p>
      <w:r>
        <w:t>Warnungsentzug des Führerausweises / Überschreitung der innerorts zulässigen Höchstgeschwindigkeit um 30 km/h</w:t>
      </w:r>
    </w:p>
    <w:p>
      <w:pPr>
        <w:pStyle w:val="Heading2"/>
      </w:pPr>
      <w:r>
        <w:t>Erwägungen</w:t>
      </w:r>
    </w:p>
    <w:p>
      <w:r>
        <w:rPr>
          <w:b/>
        </w:rPr>
        <w:t>E. 1</w:t>
      </w:r>
    </w:p>
    <w:p>
      <w:r>
        <w:t>Gemäss § 43 Abs. 1 des Gesetzes über die Verfassungs- und Verwaltungsprozess- ordnung (VPO) vom 16. Dezember 1993 ist gegen Verfügungen und Entscheide des Regie- rungsrates die verwaltungsgerichtliche Beschwerde beim Kantonsgericht zulässig. Da weder ein Ausschlusstatbestand nach § 44 VPO noch ein spezialgesetzlicher Ausschlusstatbestand vorliegt, ist die Zuständigkeit des Kantonsgerichts zur Beurteilung der vorliegenden Angelegen- heit gegeben. Da der Beschwerdeführer vom angefochtenen Entscheid berührt ist, ein schutz- würdiges Interesse an dessen Aufhebung hat und auch die weiteren formellen Vor- aussetzungen nach den §§ 43 ff. VPO erfüllt sind, ist auf die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 den. Die Beurteilung der Angemessenheit ist dem Kantonsgericht – abgesehen von hier nicht vorliegenden Ausnahmefällen – untersagt (§ 45 Abs. 1 lit. c VPO).</w:t>
      </w:r>
    </w:p>
    <w:p>
      <w:r>
        <w:rPr>
          <w:b/>
        </w:rPr>
        <w:t>E. 3</w:t>
      </w:r>
    </w:p>
    <w:p>
      <w:r>
        <w:t>Strittig und zu prüfen ist, ob der Entzug des Führerausweises für die Dauer von zwei Monaten gegenüber dem Beschwerdeführer zu Recht erfolgt ist.</w:t>
      </w:r>
    </w:p>
    <w:p>
      <w:r>
        <w:t>4.1.1. Das Strassenverkehrsgesetz unterscheidet zwischen der leichten, mittelschweren und schweren Widerhandlung gegen die Strassenverkehrsvorschriften (Art. 16a bis Art. 16c SVG).</w:t>
      </w:r>
    </w:p>
    <w:p>
      <w:r>
        <w:t>4.1.2. Eine leichte Widerhandlung im Sinne von Art. 16a Abs. 1 lit. a SVG begeht, wer durch Verletzung von Verkehrsregeln eine geringe Gefahr für die Sicherheit anderer hervorruft und ihn dabei nur ein leichtes Verschulden trifft. Nach der Rechtsprechung müssen eine geringe Gefahr und ein leichtes Verschulden kumulativ gegeben sein (BGE 135 II 138 E. 2 mit Hinweisen). Die fehlbare Person wird verwarnt, wenn in den vorangegangenen zwei Jahren der Ausweis nicht entzogen war und keine andere Administrativmassnahme verfügt wurde (Abs. 3).</w:t>
      </w:r>
    </w:p>
    <w:p>
      <w:r>
        <w:t>4.1.3. Gemäss Art. 16b Abs. 1 lit. a SVG begeht eine mittelschwere Widerhandlung, wer durch Verletzung von Verkehrsregeln eine Gefahr für die Sicherheit anderer hervorruft oder in Kauf nimmt. Die mittelschwere Widerhandlung nach Art. 16b Abs. 1 lit. a SVG stellt einen Auf- fangtatbestand dar. Sie liegt vor, wenn nicht alle privilegierenden Elemente einer leichten Wi- derhandlung nach Art. 16a Abs. 1 lit. a SVG und nicht alle qualifizierenden Elemente einer schweren Widerhandlung nach Art. 16c Abs. 1 lit. a SVG gegeben sind (Urteil des Bundesge- richts 6A.16/2006 vom 6. April 2006 E. 2.1.1, in: Journal des tribunaux (JdT) 2006 I S. 442; Bot- schaft vom 31. März 1999 zur Änderung des Strassenverkehrsgesetzes, BBl 1999 4487). Damit ist bei Vorliegen einer mittelschweren Gefährdung, unabhängig vom Verschuldensgrad, der Tatbestand der mittelschweren Widerhandlung erfüllt (BERNHARD RÜTSCHE/DENISE WEBER, in: Niggli/Probst/Waldmann [Hrsg.], Basler Kommentar zum Strassenverkehrsgesetz, Basel 2014, Rz 13 zu Art. 16b SVG). Nach einer mittelschweren Widerhandlung wird der Führerausweis für mindestens einen Monat entzogen (Abs. 2 lit. a).</w:t>
      </w:r>
    </w:p>
    <w:p>
      <w:r>
        <w:t>Seite 5 http://www.bl.ch/kantonsgericht 4.1.4. Eine schwere Widerhandlung gemäss Art. 16c Abs. 1 lit. a SVG begeht, wer durch grobe Verletzung von Verkehrsregeln eine ernstliche Gefahr für die Sicherheit anderer hervor- ruft oder in Kauf nimmt. Die Annahme einer schweren Widerhandlung setzt kumulativ eine qua- 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Schweizerische Zeitschrift für Strafrecht [ZStrR] 124/2006, S. 31 ff., insbesondere S. 63 f.). Nach einer schweren Widerhandlung wird der Führerausweis für mindestens drei Monate ent- zogen (Abs. 2 lit. a).</w:t>
      </w:r>
    </w:p>
    <w:p>
      <w:r>
        <w:t>4.2.1. In Bezug auf die Überschreitung der zulässigen Höchstgeschwindigkeiten hat die Rechtsprechung im Interesse der rechtsgleichen Behandlung Grenzwerte zur Sanktionierung festgelegt (Urteil des Bundesgerichts 1C_144/2011 vom 26. Oktober 2011 E. 3.3). Der damit einhergehende Schematismus gewährleistet ihre rechtsgleiche Anwendung (Urteile des Bun- desgerichts 1C_224/2010 vom 6. Oktober 2010 E. 3.3; 1C_83/2008 vom 16. Oktober 2008 E. 2.6). Nach dieser Rechtsprechung liegt ungeachtet der konkreten Umstände objektiv eine schwere Widerhandlung vor, wenn der Lenker die Höchstgeschwindigkeit ausserorts um 30 km/h und mehr und auf Autobahnen um 35 km/h und mehr überschreitet (BGE 133 II 331 E. 3.1; 132 II 237 E. 3; 123 II 41 E. 1d). Eine schwere Widerhandlung im Sinne von Art. 16c Abs. 1 lit. a SVG ist ebenfalls gegeben, wenn innerorts die Höchstgeschwindigkeit von 50 km/h um 25 km/h oder mehr überschritten wird. Dies gilt ungeachtet der konkreten Umstände – wie z.B. günstige Verkehrsverhältnisse oder ein tadelloser automobilistischer Leumund – oder des Umstandes, dass die Überschreitung nach Abzug der Messtoleranz genau 25 km/h beträgt (BGE 132 II 234 E. 3; 123 II 37 E. 1d; Urteil des Bundesgerichts 1C_144/2011 vom 26. Oktober 2011 E. 3.3 und 3.4; vgl. zum Ganzen Urteil des Kantonsgerichts, Abteilung Verfassungs- und Verwaltungsrecht [KGE VV], vom 28. Februar 2018 [810 17 149] E. 4 f.; KGE VV vom 8. No- vember 2017 [810 16 322] E. 4). Eine übersetzte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Die anderen Verkehrsteilnehmer dür- fen sich, auch soweit sie wartepflichtig sind, auf den Vertrauensgrundsatz berufen. Sie müssen sich nicht darauf einstellen, dass ein Fahrzeug innerorts mit einer übersetzten Geschwindigkeit herannaht. Welch schwerwiegende Folgen Geschwindigkeitsüberschreitungen innerorts, wo Fahrzeug-Fussgänger-Kollisionen häufig sind, haben können, zeigen physikalische Berechnun- gen (Urteile des Bundesgerichts 1C_438/2012 vom 17. Juni 2013 E. 2.2.1; 1C_144/2011 vom 26. Oktober 2011 E. 3.3; 6B_1028/2008 vom 16. April 2009 E. 3.5 und 3.6; 1C_222/2008 vom 18. November 2008 E. 2.2.4; je mit weiterführenden Hinweisen).</w:t>
      </w:r>
    </w:p>
    <w:p>
      <w:r>
        <w:t>4.2.2. Subjektiv ist für das Vorliegen einer schweren Widerhandlung nach Art. 16c Abs. 1 lit. a SVG erforderlich, dass dem Täter aufgrund eines rücksichtslosen oder sonst wie schwerwie- gend regelwidrigen Verhaltens zumindest eine grobe Fahrlässigkeit vorgeworfen werden kann</w:t>
      </w:r>
    </w:p>
    <w:p>
      <w:r>
        <w:t>Seite 6 http://www.bl.ch/kantonsgericht (BGE 126 II 206 E. 1a; Urteil des Bundesgerichts 1C_222/2008 vom 18. November 2008). Nach der Rechtsprechung ist die Überschreitung der Höchstgeschwindigkeit bei Vorliegen eines ob- jektiv schweren Falles in der Regel mindestens grobfahrlässig.</w:t>
      </w:r>
    </w:p>
    <w:p>
      <w:r>
        <w:t>4.3. Diese Schematisierung entbindet die Entzugsbehörde allerdings nicht davon, den Um- ständen des Einzelfalles Rechnung zu tragen. So hat sie zu prüfen, ob besondere Umstände vorliegen, die die Verkehrsregelverletzung weniger gravierend erscheinen lassen, etwa wenn der Lenker aus nachvollziehbaren Gründen gemeint hat, er befinde sich noch nicht oder nicht mehr im Innerortsbereich (BGE 123 II 37 E. 1.f; Urteile des Bundesgerichts 1C_518/2012 vom 9. Januar 2013 E. 2.4; 1C_144/2011 vom 26. Oktober 2011 E. 3.3; 1C_222/2008 vom 18. No- vember 2008 E. 2.3). Rechtsprechungsgemäss ist innerorts ungeachtet der konkreten Umstän- de objektiv eine schwere Verkehrsgefährdung im Sinne von Art. 16c Abs. 1 lit. a SVG zu beja- hen, wenn die Höchstgeschwindigkeit von 50 km/h um 25 km/h oder mehr überschritten wurde. Auch bei atypischen Innerortsstrecken, bei denen innerorts eine Höchstgeschwindigkeit von 60 km/h zulässig ist, ist dieser Schematismus anzuwenden (Urteile des Bundesgerichts 6B_772/2010 vom 9. Dezember 2010 E. 2.4; 6B_622/2009 vom 23. Oktober 2009 E. 2.4 f.; 6A.81/2006 vom 22. Dezember 2006 E. 4.3; vgl. zur Relevanz der Ausgestaltung der Strasse auch Urteil des Bundesgerichts 6B_95/2017 vom 22. Mai 2017 E. 1.6). Dies folgt daraus, dass sich Ausserortsbereiche in dicht besiedelten Agglomerationen mitunter kaum von Innerortsstre- cken im Bereich von Weilern oder gegen Ausgang von Dörfern unterscheiden lassen und der Übergang vom Innerortsbereich zum Ausserortsbereich häufig fliessend ist und es sich meist nur um kurze bis sehr kurze Strassenstücke handelt. Da gerade auf solchen Strecken Fahr- zeuglenker häufig zu nachlassender Aufmerksamkeit bzw. Disziplin neigen, ist auf solchen Strecken die Einhaltung der signalisierten Höchstgeschwindigkeit besonders unerlässlich, wes- halb auch in diesen Fällen die konkreten Verhältnisse zum Zeitpunkt der Geschwindigkeits- überschreitung grundsätzlich nicht zu beachten sind (Urteile des Bundesgerichts 6B_772/2010 vom 9. Dezember 2010 E. 2.4; 6B_622/2009 vom 23. Oktober 2009 E. 2.4; 6S.99/2004 vom 25. August 2004 E. 2.4). Günstige Strassen-, Sicht- und Verkehrsverhältnisse allein vermögen eine vom Schema abweichende Beurteilung von vornherein nicht zu rechtfertigen (Urteile des Bundesgerichts 1C_710/2013 vom 7. Januar 2014 E. 2.6; 1C_518/2012 vom 9. Januar 2013 E. 2.4; 1C_404/2011 vom 16. März 2012 E. 3.3). Jedoch sind die konkreten Umstände des Ein- zelfalles bei der Bemessung der Entzugsdauer zu berücksichtigen (Urteile des Bundesgerichts 1C_144/2011 vom 26. Oktober 2011 E. 3.3; 1C_83/2008 vom 16. Oktober 2008 E. 2; 1C_129/2010 vom 3. Juni 2010).</w:t>
      </w:r>
    </w:p>
    <w:p>
      <w:r>
        <w:rPr>
          <w:b/>
        </w:rPr>
        <w:t>E. 5</w:t>
      </w:r>
    </w:p>
    <w:p>
      <w:r>
        <w:t>Im Bereich der Ahndung von Straftaten im Strassenverkehr kennt das schweizerische Recht das System des Dualismus von Straf- und Administrativverfahren: Typischerweise findet nach einer Widerhandlung gegen Strassenverkehrsvorschriften sowohl ein Straf- als auch ein Verwaltungsverfahren statt (BGE 137 I 363 E. 2.3; GUNHILD GODENZI/JANA HRABEK, Zur Rechts- natur des Führerausweisentzugs zu Warnzwecken, in: Schaffhauser [Hrsg.], Jahrbuch zum Strassenverkehrsrecht 2007, St. Gallen 2007, S. 223). Das Strafurteil vermag die Verwaltungs- behörde grundsätzlich nicht zu binden. Allerdings gebietet der Grundsatz der Einheit der Rechtsordnung, widersprüchliche Entscheide im Rahmen des Möglichen zu vermeiden, wes- halb die Verwaltungsbehörde beim Entscheid über die Massnahme von den tatsächlichen Fest-</w:t>
      </w:r>
    </w:p>
    <w:p>
      <w:r>
        <w:t>Seite 7 http://www.bl.ch/kantonsgericht stellungen des Strafrichters nur abweichen darf, wenn sie Tatsachen feststellt und ihrem Ent- scheid zugrunde legt, die dem Strafrichter unbekannt waren, wenn sie zusätzliche Beweise er- 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127 II 302 nicht publ. E. 3a; 124 II 103 E. 1c/aa; Urteil des Bundesgerichts 1C_424/2012 vom 15. Januar 2013 E. 2.3). Auch in diesem Zusammenhang hat sie jedoch den eingangs genannten Grundsatz (Vermeiden widersprüchli- cher Urteile) gebührend zu berücksichtigen. Zu beachten ist, dass das Bundesgericht von einer inhaltlichen Kongruenz der Normen ausgeht. So geht es in konstanter Rechtsprechung davon aus, dass die grobe Verkehrsregelverletzung gemäss Art. 90 Abs. 2 SVG einer schweren Wi- derhandlung im Sinne von Art. 16c SVG entspricht (Urteile des Bundesgerichts 1C_87/2016 vom 13. Juni 2016 E. 2.11; 1C_182/2014 vom 7. Oktober 2014 E. 2.2; BGE 132 II 234 E. 3). Demgegenüber werden einfache Verkehrsregelverletzungen gemäss Art. 90 Abs. 1 SVG als leichte und mittelschwere Widerhandlungen im Sinne von Art. 16a und 16b SVG erfasst (BGE 135 II 138 E. 2.4; Urteil des Bundesgerichts 1C_266/2014 vom 17. Februar 2015 E. 3.2; KGE VV vom 27. Juli 2016 [810 15 267] E. 6.3).</w:t>
      </w:r>
    </w:p>
    <w:p>
      <w:r>
        <w:t>6.1. Zusammenfassend ist folglich festzuhalten, dass nach der Rechtsprechung eine Über- schreitung der Höchstgeschwindigkeit innerorts um 25 km/h oder mehr in der Regel objektiv eine grobe Verkehrsregelverletzung darstellt (E. 4.2.1) sowie dem Lenker zumindest eine grobe Fahrlässigkeit vorgeworfen wird (E. 4.2.2.) und damit als schwere Widerhandlung im Sinne von Art. 16c SVG zu qualifizieren ist (E. 4.2.1). Liegen besondere Umstände vor, kann von dieser Qualifizierung abgewichen werden (E. 4.3). Die Vorinstanzen haben vorliegendenfalls nicht auf eine schwere Widerhandlung nach Art. 16c SVG, sondern auf eine mittelschwere Widerhand- lung nach Art. 16b SVG geschlossen. Der Beschwerdeführer vertritt hingegen die Ansicht, es handle sich um eine leichte Widerhandlung nach Art. 16a SVG.</w:t>
      </w:r>
    </w:p>
    <w:p>
      <w:r>
        <w:t>6.2.1. Der Beschwerdeführer erörtert in seiner Beschwerde, dass der Beschwerdegegner eine objektiv mittelschwere (abstrakte) Gefährdungssituation angenommen habe (RRB E. 7.5). Bei einer objektiv mittelschweren Gefährdungssituation sei eine Widerhandlung indessen nur dann als mittelschwer im Sinne von Art. 16b SVG zu qualifizieren, wenn das Verschulden der fehlbaren Person ebenfalls als mindestens mittelschwer zu qualifizieren sei. Bei leichtem Ver- schulden sei die Schaffung einer objektiv mittelschweren Gefährdungssituation unter Art. 16a SVG zu subsumieren.</w:t>
      </w:r>
    </w:p>
    <w:p>
      <w:r>
        <w:t>6.2.2. Diesen Ausführungen des Beschwerdeführers kann nicht gefolgt werden. Wie in den Erwägungen 4.1.2 und 4.1.3 bereits ausgeführt, ist die Konstellation mittelschwere Gefährdung und leichtes Verschulden unter dem Tatbestand der mittelschweren Widerhandlung zu subsu- mieren, da für eine leichte Widerhandlung kumulativ eine geringe Gefahr und ein leichtes Ver- schulden gegeben sein müssen. Damit ist die vom Beschwerdeführer begangene Geschwindig- keitsüberschreitung als mittelschwere Widerhandlung im Sinne von Art. 16b SVG zu qualifizie-</w:t>
      </w:r>
    </w:p>
    <w:p>
      <w:r>
        <w:t>Seite 8 http://www.bl.ch/kantonsgericht ren, selbst wenn dabei – wie vom Beschwerdeführer ausgeführt – objektiv lediglich eine mittel- schwere Gefährdung und subjektiv ein leichtes Verschulden vorlagen.</w:t>
      </w:r>
    </w:p>
    <w:p>
      <w:r>
        <w:t>6.3.1. Der Regierungsrat führt in seinem Beschluss aus, der Beschwerdeführer habe im Strafverfahren erstens geltend gemacht, ihm sei nicht bewusst gewesen, dass er sich innerorts befunden habe, und zweitens, man nehme die Strasse an der fraglichen Stelle als objektiver Beobachter als Ausserortsstrecke wahr. Im Regierungsratsbeschluss wird erklärt, es sei im Strafverfahren allerdings unbeachtet geblieben, dass der Beschwerdeführer nicht ortsunkundig sei, weil er in D.____ über selbst genutztes Wohneigentum verfüge. Es müsse folglich von ei- nem ortskundigen Fahrer und nicht von einem objektiven Beobachter ausgegangen werden. Überdies sei die fragliche Strecke – wie in der Erwägung 7.5. des Regierungsratsbeschlusses beschrieben – als Innerortsstrecke erkennbar.</w:t>
      </w:r>
    </w:p>
    <w:p>
      <w:r>
        <w:t>6.3.2. Der Beschwerdeführer erläutert in der Beschwerde an das Kantonsgericht, dem Straf- richter sei entgegen der Behauptung des Beschwerdegegners bei seinem Urteil bekannt gewe- sen, dass der Beschwerdeführer Eigentümer eines Feriendomizils in D.____ sei. Dies ergebe sich ohne weiteres aus dem Verhandlungsprotokoll. Des Weiteren behaupte der Beschwerde- gegner, dass die Innerortssituation erkennbar gewesen sei. Der Regierungsrat führe nicht aus, worauf er diese Behauptung stütze. Demgegenüber sei der ortskundige Strafrichter, der nicht zum ersten Mal eine an der fraglichen Stelle gemessene Geschwindigkeitsüberschreitung zu beurteilen gehabt hätte, zum gegenteiligen Schluss gekommen, dass die Innerortssituation beim Messpunkt schwierig zu erkennen sei. Auch dies ergebe sich aus dem Verhandlungspro- tokoll vom 6. Februar 2015.</w:t>
      </w:r>
    </w:p>
    <w:p>
      <w:r>
        <w:t>6.3.3. Entgegen den Ausführungen des Beschwerdeführers ist dem Protokoll der strafrechtli- chen Verhandlung vom 6. Februar 2015 weder zu entnehmen, dass der Strafrichter den fragli- chen Streckenabschnitt kannte, noch dass er bereits andere Male Geschwindigkeitsüberschrei- tungen an der fraglichen Stelle zu beurteilen hatte, noch dass er zum Schluss kam, die Inner- ortssituation sei beim Messpunkt schwierig zu erkennen. Vielmehr steht im Verhandlungsproto- koll, der Richter habe die Gründe für die Abweisung des Antrags auf Augenschein “zitiert“. Der Ausdruck von Google Streetview betreffend Messort sei dem Beschwerdeführer und seinem Anwalt erläutert worden, ebenso die Lage der Ortstafel und “des Endes 50 km/h“. Die Situation sei im Beisein des Beschwerdeführers und seines Anwalts online durchgegangen worden. Des Weiteren geht aus dem Verhandlungsprotokoll auch nicht hervor, dass dem Strafrichter bekannt war, dass der Beschwerdeführer in D.____ ein Feriendomizil hat. Kein anderer Schluss lässt sich aus den Plädoyernotizen des Rechtsanwalts des Beschwerdeführers für die Verhandlung vom 6. Februar 2015 ziehen. Auch dort wird mit keinem Wort erwähnt, dass der Beschwerde- führer die Strecke kennt oder dort ein Feriendomizil hat. Vielmehr legen die dortigen Ausfüh- rungen die Vermutung nahe, der Beschwerdeführer habe die Tatsache, dass er ein Feriendo- mizil in D.____ hat, bewusst verschwiegen. Es ist dort lediglich zu lesen, der Beschwerdeführer sei nach ein paar erholsamen Tagen in D.____ entspannt nach Basel gefahren und der objekti- ve Betrachter würde niemals erwarten, dass am Messpunkt noch die innerorts geltende Höchstgeschwindigkeit eingehalten werden müsse.</w:t>
      </w:r>
    </w:p>
    <w:p>
      <w:r>
        <w:t>Seite 9 http://www.bl.ch/kantonsgericht 6.3.4. Wie der Beschwerdegegner ausführt und vom Beschwerdeführer nicht bestritten wird, ist Letztgenannter Eigentümer eines Feriendomizils in D.____. Um D.____ zu erreichen, ist es zwingend, die D.____strasse von B.____ über G.____ nach D.____ zu befahren. Demzufolge muss er als ortskundiger Fahrer qualifiziert werden. Er wusste oder hätte zumindest wissen müssen, dass sich der fragliche Streckenabschnitt innerorts befindet und damit eine Geschwin- digkeitslimite von 50 km/h zu beachten ist. Damit liegen erstens, unabhängig von der Erkenn- barkeit des Innerortsstreckencharakters, keine nachvollziehbaren Gründe dafür vor, dass der Beschwerdeführer habe meinen dürfen, er befinde sich nicht im Innerortsbereich. Folglich lie- gen keine besonderen Umstände vor, die die Verkehrsregelverletzung weniger gravierend er- scheinen lassen. Zweitens würde auch das Vorliegen von besonderen Umständen – wie der Ausserortscharakter der fraglichen Strecke –, welche die Verkehrsregelverletzung weniger gra- vierend erscheinen lassen würden, höchstens dazu führen, dass aufgrund des verminderten Verschuldens die Geschwindigkeitsüberschreitung von 30 km/h innerorts als mittelschwere statt als schwere Widerhandlung qualifiziert würde. Drittens würde die Verkehrsregelverletzung eine mittelschwere Widerhandlung bleiben, selbst wenn die Geschwindigkeitsüberschreitung von 30 km/h innerorts entgegen der Rechtsprechung nur als mittelschwere Gefährdung qualifiziert würde und besondere Umstände zur Annahme eines leichten Verschuldens führen würden. Dies weil für die Annahme einer leichten Widerhandlung sowohl eine geringe Gefahr als ein leichtes Verschulden vorliegen müssen (siehe E. 6.2.2). Die Frage, ob die fragliche Strecke Ausserortscharakter hat, ist somit irrelevant, weil der Beschwerdeführer kein objektiver Betrach- ter, sondern ein ortskundiger Fahrer ist, und zudem, weil selbst wenn der Beschwerdeführer kein ortskundiger Fahrer wäre und die Strecke Ausserortscharakter hätte, dies lediglich zu einer Qualifizierung der Geschwindigkeitsüberschreitung als mittelschwere statt als schwere Wider- handlung führen würde.</w:t>
      </w:r>
    </w:p>
    <w:p>
      <w:r>
        <w:t>6.4. Aus den obigen Ausführungen ergibt sich demzufolge, dass nicht zu beanstanden ist, dass die Polizei die Geschwindigkeitsüberschreitung vom 19. April 2014 als mittelschwere Wi- derhandlung gemäss Art. 16b Abs. 1 lit. a SVG qualifiziert hat. Diese Qualifizierung deckt sich – wie nachfolgend zu zeigen sein wird – auch mit derjenigen im strafrechtlichen Verfahren. An- zumerken ist, dass aufgrund der oben zitierten Rechtsprechung (E. 4.1.1 ff.) sogar ein Führer- ausweisentzug wegen schwerer Widerhandlung hätte verfügt werden können, sofern die Ab- weichung vom Strafurteil gemäss den in der Erwägung 5 genannten Bedingungen begründet worden wäre (siehe E. 5).</w:t>
      </w:r>
    </w:p>
    <w:p>
      <w:r>
        <w:t>7.1. Der Beschwerdeführer macht des Weiteren geltend, die administrative Massnahme widerspreche dem Strafgerichtsurteil, mit welchem er der einfachen Verkehrsregelverletzung nach Art. 90 Abs. 1 SVG schuldig gesprochen worden sei. Im strafrechtlichen Urteil sei das Verschulden des Beschwerdeführers als leicht qualifiziert worden, andernfalls wäre im Strafver- fahren nicht auf eine einfache Verkehrsregelverletzung gemäss Art. 90 Abs. 1 SVG geschlos- sen worden.</w:t>
      </w:r>
    </w:p>
    <w:p>
      <w:r>
        <w:t>7.2. Wie in der Erwägung 5 bereits ausgeführt, umfasst eine einfache Verkehrsregelverlet- zung nach Art. 90 Abs. 1 SVG sowohl die leichte als auch die mittelschwere Widerhandlung nach 16a bzw. 16b SVG. Damit liegt kein Widerspruch zwischen der administrativen Massnah-</w:t>
      </w:r>
    </w:p>
    <w:p>
      <w:r>
        <w:t>Seite 10 http://www.bl.ch/kantonsgericht me und dem Strafgerichtsurteil vor. Im Übrigen geht aus dem Strafurteil entgegen den Ausfüh- rungen des Beschwerdeführers nicht hervor, ob der Strafrichter von einem leichten Verschulden ausgegangen ist. Aufgrund der Tatsache, dass der Strafrichter den Tatbestand von Art. 90 Abs. 2 SVG verneint hat, kann lediglich geschlossen werden, dass er eine der Voraussetzun- gen von Art. 90 Abs. 2 SVG als nicht gegeben erachtet hat. Damit ist aus dem Strafurteil ledig- lich abzuleiten, dass der Strafrichter entweder das Vorliegen einer groben Verkehrsregelverlet- zung oder die durch diese hervorgerufene ernstliche Gefährdung oder die grobe Fahrlässigkeit verneint hat (GERHARD FIOLKA, in: Niggli/Probst/Waldmann [Hrsg.], Basler Kommentar zum Strassenverkehrsgesetz, Basel 2014, Rz 92 ff. zu Art. 90 SVG). Des Weiteren würde, selbst wenn der Strafrichter von einem leichten Verschulden ausgegangen wäre, kein Widerspruch zur Administrativmassnahme vorliegen, da wie bereits erörtert (E. 4.1.2 f. und 6.2.2) die Konstella- tion mittelschwere Gefährdung und leichtes Verschulden unter dem Tatbestand der mittel- schweren Widerhandlung zu subsumieren ist.</w:t>
      </w:r>
    </w:p>
    <w:p>
      <w:r>
        <w:t>8.1. Als nächstes ist die verfügte Dauer des Führerausweisentzugs zu beurteilen. Gemäss Art. 16 Abs. 3 SVG ist eine Unterschreitung der gesetzlichen Mindestentzugsdauer ausge- schlossen (vgl. zum Ganzen Urteile des Bundesgerichts 1C_424/2012 vom 15. Januar 2013 E. 2.1; 1C_144/2011 vom 26. Oktober 2011 E. 3.6). Mit den Mindestentzugsdauern begrenzt der Gesetzgeber das Auswahlermessen der Entzugsbehörde nach unten. Demgegenüber exis- tieren für den Warnungsentzug abgesehen von einer hier nicht interessierenden Ausnahme keine Höchstentzugsdauern. Die Behörde sollte sich zwar bei der Bemessung der Entzugsdau- er nach oben an der Mindestentzugsdauer der nächst höheren Stufe im Kaskadensystem orien- tieren. Es handelt sich dabei jedoch nicht um fixe Höchstgrenzen, die nicht überschritten wer- den dürfen. Oberhalb der Mindestentzugsdauer kommt den Behörden bei der Bemessung der Entzugsdauer ein beträchtliches Ermessen zu. Dieses Ermessen muss – wie jedes Verwal- tungsermessen – pflichtgemäss, d.h. insbesondere verhältnismässig und rechtsgleich, gehand- habt werden. Bei der Festsetzung der Dauer sind gemäss Art. 16 Abs. 3 SVG die Umstände des Einzelfalls zu berücksichtigen, namentlich die Gefährdung der Verkehrssicherheit, das Ver- schulden, der Leumund als Motorfahrzeugführer sowie die berufliche Notwendigkeit, ein Motor- fahrzeug zu führen (BERNHARD RÜTSCHE, in: Niggli/Probst/Waldmann [Hrsg.], Basler Kommen- tar zum Strassenverkehrsgesetz, Basel 2014, Rz 96 f. zu Art. 16 SVG).</w:t>
      </w:r>
    </w:p>
    <w:p>
      <w:r>
        <w:t>8.2.1. Ein getrübter automobilistischer Leumund führt zu einer längeren Entzugsdauer, soweit er nicht bereits Grund für die Bestimmung der Mindestentzugsdauer war, ansonsten würde sich die Rückfälligkeit doppelt zu Lasten des fehlbaren Lenkers auswirken (RÜTSCHE, a.a.O., Rz 123 zu Art. 16 SVG). Im Rahmen der Bemessung der Entzugsdauer ist entscheidend, wie häufig, in welchem Zeitraum und von welcher Schwere allfällige Administrativmassnahmen oder Strafen wegen Verletzung von Strassenverkehrsvorschriften gegen den Fahrzeugführer in der Vergan- genheit bereits angeordnet worden sind. Zu den Administrativmassnahmen, die i.S. von Art. 16 Abs. 3 SVG massnahmeverschärfend wirken, zählen unter anderem Verwarnungen und War- nungsentzüge (RÜTSCHE, a.a.O., Rz 123 zu Art. 16 SVG). Das Gesetz sieht für die Berücksich- tigung bisheriger Strafen und Administrativmassnahmen für die Bemessung der Entzugsdauer keine zeitliche Begrenzung vor (RÜTSCHE, a.a.O., Rz 126 zu Art. 16 SVG).</w:t>
      </w:r>
    </w:p>
    <w:p>
      <w:r>
        <w:t>Seite 11 http://www.bl.ch/kantonsgericht 8.2.2. Gemäss Massnahmenregister (ADMAS-Auszug vom 15. August 2014) hat der Be- schwerdeführer in den Jahren 1999, 2002 und 2008 Geschwindigkeitsüberschreitungen began- gen (jeweils Schweregrad: leicht), die zwei Verwarnungen und einen einmonatigen Führeraus- weisentzug zur Folge hatten. Im Jahr 2006 wurde er wegen “Unfall wegen Unaufmerksamkeit und Vortrittsmissachtung“ verwarnt (Schweregrad: leicht). Der automobilistische Leumund des Beschwerdeführers ist – entgegen seinen Beteuerungen während der strafrechtlichen Verhand- lung – keinesfalls ungetrübt.</w:t>
      </w:r>
    </w:p>
    <w:p>
      <w:r>
        <w:t>8.2.3. Gemäss Art. 16b Abs. 2 SVG wird der Führerausweis nach einer mittelschweren Wi- derhandlung für mindestens einen Monat entzogen (lit. a). Für mindestens vier Monate wird er entzogen, wenn in den vorangegangenen zwei Jahren der Ausweis einmal wegen einer schwe- ren oder mittelschweren Widerhandlung entzogen war (lit. b). Der Beschwerdeführer hat eine mittelschwere Widerhandlung im Sinne von Art. 16b Abs. 1 lit. a SVG begangen, was gemäss Art. 16b Abs. 2 lit. a SVG eine Mindestentzugsdauer von einem Monat zur Folge hat. Der ge- trübte Leumund des Beschwerdeführers war somit nicht bereits der Grund für die Festlegung der Mindestentzugsdauer von einem Monat (siehe E. 8.2.1). Damit kann dem Standpunkt des Beschwerdeführers, dass bei einer mittelschweren Widerhandlung der Entzug auf die Mindest- entzugsdauer von einem Monat festzulegen sei, wenn in den vorangegangenen zwei Jahren keine Administrativmassnahme verfügt wurde, nicht gefolgt werden. Des Weiteren kann der Beschwerdeführer aus seinem Verweis auf das Urteil des Bundesgerichts vom 31. Oktober 2007 (1C_81/2007, E. 3) nichts zu seinen Gunsten ableiten, da der dort zu beurteilende Fall nicht mit dem vorliegenden vergleichbar ist. Das Bundesgericht hat dort ausgeführt, dass ge- mäss Art. 16a SVG bei einer leichten Widerhandlung der Führerausweis für mindestens einen Monat entzogen werden kann, wenn in den vorangegangenen zwei Jahren der Ausweis entzo- gen war oder eine andere Administrativmassnahme verfügt wurde. Demzufolge sei es, wenn diese Voraussetzung nicht erfüllt sei, unzulässig den Führerausweis zu entziehen.</w:t>
      </w:r>
    </w:p>
    <w:p>
      <w:r>
        <w:t>8.3. Das Verschulden muss beim ortskundigen Beschwerdeführer, der die Geschwindigkeit innerorts um 30 km/h überschritten hat, zumindest als mittelschwer qualifiziert werden.</w:t>
      </w:r>
    </w:p>
    <w:p>
      <w:r>
        <w:t>8.4. Der Beschwerdeführer macht geltend, es bestehe eine berufliche Notwendigkeit, ein Motorfahrzeug zu fahren. In seiner Eigenschaft als Präsident des H.____ müsse er jährlich eine Vielzahl von mit dem öffentlichen Verkehr nicht zu bewältigenden geschäftlichen Terminen wahrnehmen. Seine Massnahmenempfindlichkeit sei daher ausgesprochen hoch, so dass auch aus diesem Grund die Massnahme gemildert werden müsse. Grundsätzlich betont das Bun- desgericht, dass ein gewisser organisatorischer, zeitlicher oder finanzieller Mehraufwand Folge eines jeden Führerausweisentzugs sei und daher bei der Bemessung der Entzugsdauer nicht zu berücksichtigen sei. Die berufliche Notwendigkeit, ein Motorfahrzeug zu führen, wird daher etwa verneint bei Versicherungsvertretern oder Immobilienhändlern, denen ein Ausweichen auf die öffentlichen Verkehrsmittel oder Taxis zumutbar ist. Sodann können “ein Unternehmer oder ein Architekt für die gleichzeitige Überwachung mehrerer Baustellen, ein Arzt oder eine Kran- kenschwester, die während der Nacht dringend ins Spital oder zu Patienten gerufen werden, sich nicht auf eine massgebende berufliche Notwendigkeit berufen“; dies “trotz sehr ernsthafter Unannehmlichkeiten, häufig wichtiger Auslagen und trotz des Gewinnausfalls, der durch das</w:t>
      </w:r>
    </w:p>
    <w:p>
      <w:r>
        <w:t>Seite 12 http://www.bl.ch/kantonsgericht Verbot, ein Auto zu führen, entsteht“ (RÜTSCHE, a.a.O., Rz 130 zu Art. 16 SVG). In Anbetracht dieser genannten Beispiele kann sich auch der Beschwerdeführer nicht auf die berufliche Not- wendigkeit berufen. Es wird nicht bezweifelt, dass das Verbot, ein Fahrzeug zu lenken, mit ernsthaften Unannehmlichkeiten und Auslagen verbunden ist. Dies reicht aber gemäss Recht- sprechung nicht aus, um eine berufliche Notwendigkeit zu bejahen.</w:t>
      </w:r>
    </w:p>
    <w:p>
      <w:r>
        <w:t>8.5. Der Beschwerdeführer macht weiter geltend, dass eine überlange Verfahrensdauer vor- liege, welche zu einer Massnahmenmilderung führen müsse. Er verweist dabei auf das Urteil des Bundesgerichts 127 II 297 (E 3.d). Es ist festzuhalten, dass es dort um die Zulässigkeit der Unterschreitung der Mindestentzugsdauer ging und dieses Urteil vor der Teilrevision des SVG von 2001 gefällt wurde, als das Bundesgericht eine Unterschreitung der obligatorischen Min- destentzugsdauer und allenfalls einen Verzicht auf eine Administrativmassnahme – im Gegen- satz zum heutigen Recht – zuliess. Des Weiteren ist zu präzisieren, dass selbst nach der vor der Revision geltenden Rechtsprechung eine Unterschreitung der obligatorischen Mindestent- zugsdauer und allenfalls ein Verzicht auf eine Administrativmassnahme bei überlanger Verfah- rensdauer zulässig war, wenn “seit dem massnahmeauslösenden Ereignis verhältnismässig lange Zeit verstrichen ist, sich der Betroffene während dieser Zeit wohl verhalten hat und ihn an der langen Verfahrensdauer keine Schuld trifft“ (RÜTSCHE, a.a.O., Rz 92 f. zu Art. 16 SVG; BGE 127 II 297 E. 3d; 135 II 334 E. 2.2). Abgesehen davon, dass vorliegendenfalls nicht von einer überlangen Verfahrensdauer gesprochen werden kann, fehlt das Erfordernis des Wohlverhal- tens des Beschwerdeführers nach dem hier zu beurteilenden massnahmeauslösenden Vorfall, da der Beschwerdeführer im Jahr 2016 erneut wegen einer Geschwindigkeitsübertretung ver- warnt wurde. Eine Reduktion der Entzugsdauer aufgrund der behaupteten überlangen Verfah- rensdauer kommt demzufolge nicht in Frage.</w:t>
      </w:r>
    </w:p>
    <w:p>
      <w:r>
        <w:t>8.6. Aufgrund der obigen Darlegungen ist die verfügte Dauer des Führerausweisentzugs von zwei Monaten nicht zu beanstanden und die Beschwerde folglich abzuweisen.</w:t>
      </w:r>
    </w:p>
    <w:p>
      <w:r>
        <w:rPr>
          <w:b/>
        </w:rPr>
        <w:t>E. 9</w:t>
      </w:r>
    </w:p>
    <w:p>
      <w:r>
        <w:t>Es bleibt über die Kosten des vorliegenden Verfahrens zu befinden. Gemäss § 20 Abs. 1 VPO ist das Verfahren vor Kantonsgericht kostenpflichtig. Vorliegend sind die Verfahrenskosten in der Höhe von insgesamt Fr. 1‘400.-- dem unterliegenden Beschwerdeführer aufzuerlegen und mit dem geleisteten Kostenvorschuss in der gleichen Höhe zu verrechnen. Die Parteikosten sind nach § 21 Abs. 1 VPO wettzuschlagen.</w:t>
      </w:r>
    </w:p>
    <w:p>
      <w:r>
        <w:t>Seite 13 http://www.bl.ch/kantonsgericht Demgemäss wird e r k a n n t :</w:t>
      </w:r>
    </w:p>
    <w:p>
      <w:r>
        <w:t>://: 1. Die Beschwerde wird abgewiesen.</w:t>
      </w:r>
    </w:p>
    <w:p>
      <w:r>
        <w:t>2. Die Angelegenheit wird zur Festlegung einer angemessenen Frist zur Abgabe des Führerausweises an die Polizei Basel-Landschaft, Haupt- abteilung Verkehrssicherheit, Administrativmassnahmen, überwiesen.</w:t>
      </w:r>
    </w:p>
    <w:p>
      <w:r>
        <w:t>3. Die Verfahrenskosten in der Höhe von Fr. 1‘400.-- werden dem Be- schwerdeführer auferlegt und mit dem geleisteten Kostenvorschuss in der Höhe von Fr. 1‘400.-- verrechnet.</w:t>
      </w:r>
    </w:p>
    <w:p>
      <w:r>
        <w:t>4. Die Parteikosten werden wettgeschlagen.</w:t>
      </w:r>
    </w:p>
    <w:p>
      <w:r>
        <w:t>Vizepräsident</w:t>
      </w:r>
    </w:p>
    <w:p>
      <w:r>
        <w:t>Gerichtsschreiberin</w:t>
      </w:r>
    </w:p>
    <w:p>
      <w:r>
        <w:t>Gegen diesen Entscheid wurde am 27. Juni 2018 Beschwerde beim Bundesgericht (Verfah- rensnummer 1C_320/2018)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