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2018-01-16-vv-1 vom 16. Januar 2018</w:t>
      </w:r>
    </w:p>
    <w:p>
      <w:r>
        <w:t>BL Gerichte, 2018-01-16, DE</w:t>
      </w:r>
    </w:p>
    <w:p>
      <w:r>
        <w:rPr>
          <w:b/>
        </w:rPr>
        <w:t xml:space="preserve">Quelle: </w:t>
      </w:r>
      <w:r>
        <w:t>https://mcp.opencaselaw.ch/entscheid/bl_gerichte_2018-01-16-vv-1</w:t>
      </w:r>
    </w:p>
    <w:p>
      <w:r>
        <w:t>FR: BL_GERICHTE 2018-01-16-vv-1 du 16 janvier 2018</w:t>
      </w:r>
    </w:p>
    <w:p>
      <w:r>
        <w:t>IT: BL_GERICHTE 2018-01-16-vv-1 del 16 gennaio 2018</w:t>
      </w:r>
    </w:p>
    <w:p>
      <w:pPr>
        <w:pStyle w:val="Heading2"/>
      </w:pPr>
      <w:r>
        <w:t>Regeste</w:t>
      </w:r>
    </w:p>
    <w:p>
      <w:r>
        <w:t>Finanzausgleich / Beschwerdelegitimation</w:t>
      </w:r>
    </w:p>
    <w:p>
      <w:pPr>
        <w:pStyle w:val="Heading2"/>
      </w:pPr>
      <w:r>
        <w:t>Erwägungen</w:t>
      </w:r>
    </w:p>
    <w:p>
      <w:r>
        <w:rPr>
          <w:b/>
        </w:rPr>
        <w:t>E. 1</w:t>
      </w:r>
    </w:p>
    <w:p>
      <w:r>
        <w:t>Gemäss § 43 Abs. 1 des Gesetzes über die Verfassungs- und Verwaltungsprozessord- nung (VPO) vom 16. Dezember 1993 ist gegen Verfügungen und Entscheide des Regierungs- rates die verwaltungsgerichtliche Beschwerde beim Kantonsgericht zulässig. Das Gericht wen-</w:t>
      </w:r>
    </w:p>
    <w:p>
      <w:r>
        <w:t>Seite 3 http://www.bl.ch/kantonsgericht det das Recht von Amtes wegen an. Es prüft insbesondere, ob die Eintretensvoraussetzungen erfüllt sind (§ 16 Abs. 2 VPO).</w:t>
      </w:r>
    </w:p>
    <w:p>
      <w:r>
        <w:t>2.1 Zur verwaltungsgerichtlichen Beschwerde ist nach der allgemeinen Legitimationsklausel befugt, wer durch die angefochtene Verfügung oder den angefochtenen Entscheid berührt ist und ein schutzwürdiges Interesse an dessen Aufhebung oder Änderung hat (§ 47 Abs. 1 lit. a VPO). Diese Regelung ist in erster Linie auf Privatpersonen zugeschnitten, doch kann sich auch das Gemeinwesen darauf stützen, falls es durch einen angefochtenen Entscheid gleich oder ähnlich wie ein Privater oder aber in spezifischer Weise in der Wahrnehmung einer hoheitlichen Aufgabe betroffen wird. Einwohnergemeinden sind im Rahmen des Finanzausgleichs als Verfü- gungsadressaten formell beschwert und qualifiziert in der Ausübung ihrer hoheitlichen Tätigkeit berührt, weshalb sie grundsätzlich zur verwaltungsgerichtlichen Beschwerde befugt sind (Urteil des Kantonsgerichts, Abteilung Verfassungs- und Verwaltungsrecht [KGE VV], vom 13. September 2017 [810 16 386] E. 1; KGE VV vom 18. September 2013 [810 10 339] E. 2; KGE VV vom 30. Juni 2010 [810 09 440] E. 1.2; Urteil des BGer 2C_296/2016 vom 26. April 2016 E. 1.1).</w:t>
      </w:r>
    </w:p>
    <w:p>
      <w:r>
        <w:t>2.2 Die Voraussetzungen von § 47 Abs. 1 lit. a VPO müssen kumulativ erfüllt sein. Erforder- lich ist somit neben der formellen Beschwer und der materiellen Beschwer in der Form eines besonderen Berührtseins auch ein schutzwürdiges Interesse an der Aufhebung oder Änderung des angefochten Entscheids. Letzteres besteht im praktischen Nutzen, der sich ergibt, wenn die beschwerdeführende Person mit ihrem Anliegen obsiegt und dadurch ihre tatsächliche oder rechtliche Situation unmittelbar beeinflusst werden kann. Die Beschwerde dient nicht dazu, abs- trakt die objektive Rechtmässigkeit des staatlichen Handelns zu überprüfen, sondern der be- schwerdeführenden Partei einen praktischen Vorteil zu verschaffen. Mit anderen Worten muss das erfolgreiche Rechtsmittel einen Nachteil wirtschaftlicher, ideeller, materieller oder anderwei- tiger Natur vermeiden, welchen der angefochtene Entscheid mit sich bringen würde. Das blosse Anliegen, Dritten einen (behaupteterweise) rechtswidrigen Vorteil zu verwehren, kann nicht zur Legitimation ausreichen, wenn es nicht mit einem eigenen schutzwürdigen Vorteil korreliert (KGE VV vom 13. September 2017 [810 16 365] E. 2.2; KGE VV vom 21. Januar 2015 [810 14 314] E. 2.1; vgl. auch BGE 141 II 307 E. 6.2; ALFRED KÖLZ/ISABELLE HÄNER/MARTIN BERTSCHI, Verwaltungsverfahren und Verwaltungsrechtspflege des Bundes, 3. Aufl., Zürich 2013, Rz. 940 ff.).</w:t>
      </w:r>
    </w:p>
    <w:p>
      <w:r>
        <w:rPr>
          <w:b/>
        </w:rPr>
        <w:t>E. 3</w:t>
      </w:r>
    </w:p>
    <w:p>
      <w:r>
        <w:t>Im angefochtenen Entscheid wird ausgeführt, dass die Änderung des Ausgleichsniveaus für Gemeinden, die den Ressourcenausgleich in den Jahren 2016 und 2017 mit 15 % ihrer Steuerkraft alimentiert hatten, ohne Auswirkungen bleibe. Die Beschwerdeführerin ist eine sol- che Gemeinde. Die Zahlungstabelle weist in ihrem Fall denn auch eine Differenz von Fr. 0.-- aus. Die Beschwerdeführerin bestreitet in ihrer Beschwerdebegründung nicht, dass der angefochtene Entscheid in ihrem Fall keine unmittelbaren Auswirkungen zeitigt und dessen Aufhebung ihre rechtliche oder tatsächliche Lage dementsprechend nicht direkt beeinflussen würde.</w:t>
      </w:r>
    </w:p>
    <w:p>
      <w:r>
        <w:t>Seite 4 http://www.bl.ch/kantonsgericht 4.1 Die Beschwerdeführerin beruft sich vielmehr auf ein eigenes schutzwürdiges Interesse daran, dass der Ausgleichsfonds ausreichend dotiert bleibe. Sie befürchtet, dass sie bei unge- nügenden Reserven in schlechten Steuerjahren zusätzliche Pro-Kopf-Beiträge an den Aus- gleichsfonds gemäss § 2a Abs. 2 des Finanzausgleichsgesetzes (FAG) vom 25. Juni 2009 wer- de entrichten müssen, da daraus auch die Härtebeiträge (§ 8 FAG) und die Übergangsbeiträge (§ 21 FAG) finanziert werden müssten. Nähere Ausführungen hierzu enthält die Beschwer- debegründung nicht.</w:t>
      </w:r>
    </w:p>
    <w:p>
      <w:r>
        <w:t>4.2 Unter Umständen kann der praktische Nutzen der Beschwerdeführung auch in der Ab- wendung eines Risikos liegen. Dazu muss dem drohenden Nachteil aber eine nicht unbedeu- tende Schwere zukommen und der Schadenseintritt relativ wahrscheinlich sein - bloss gering- fügige, unwahrscheinliche Beeinträchtigungen reichen nicht aus (BGE 123 II 376 E. 4b; BGE 121 II 176 E. 3a; BVGE 2007/20 E. 2.4.1; KÖLZ/HÄNER/BERTSCHI, a.a.O., Rz. 942; REGINA KIENER/BERNHARD RÜTSCHE/MATHIAS KUHN, Öffentliches Verfahrensrecht, 2. Aufl., Zürich 2015, Rz. 1434). Im vorliegenden Fall wird der Regierungsrat das Ausgleichsniveau im Rahmen der vom Gesetz vorgesehenen regelmässigen Überprüfung im kommenden Jahr für die Periode 2019 bis 2021 neu festzulegen haben (vgl. § 5 Abs. 3 FAG). Bei diesem Schritt könnte (und müsste) er eine Fehlentwicklung des Fondsbestands korrigieren. Eine allfällige Unterdotierung des Ausgleichsfonds kann somit realistischerweise nur das Jahr 2018 und allenfalls noch das Jahr 2019 betreffen. Bezüglich der Abflüsse aus dem Fonds ist zu berücksichtigen, dass die Ausgaben für die Übergangsbeiträge gesetzlich fixiert und damit betragsmässig heute schon genau bekannt sind (vgl. § 21 FAG i.V.m. § 16 der Finanzausgleichsverordnung [FAV] vom 15. März 2016). Was die von der Beschwerdeführerin angesprochenen Härtebeiträge betrifft, so können seit dem Jahr 2010 nur noch Einwohnergemeinden in den Genuss von Härtebeiträgen kommen (vgl. § 8 Abs. 1 FAG). In den Jahren 2010 bis 2016 wurden Einwohnergemeinden Här- tebeiträge von im Durchschnitt jährlich rund Fr. 380'000.-- zugesprochen. Der höchste einzelne Beitrag belief sich dabei auf Fr. 700'000.-- (vgl. den im Internet abrufbaren Kurzbericht des Sta- tistischen Amts des Kantons Basel-Landschaft zu den Härtebeiträgen 2003 bis 2016). Selbst wenn davon ausgegangen würde, dass in naher Zukunft mehrere aussergewöhnlich hohe Här- tebeiträge bewilligt würden, so bewegte sich deren Gesamtsumme - verglichen mit den durch den Ressourcenausgleich im Ausgleichsfonds ausgelösten Geldflüssen - immer noch in einer untergeordneten Grössenordnung. Die Ausgabenentwicklung des Ausgleichsfonds ist damit für die nächsten Jahre relativ genau abschätzbar. Damit das von der Beschwerdeführerin befürch- tete Szenario eintrifft, müssten die Steuereinnahmen in naher Zukunft unvermittelt schwer ein- brechen. Dafür bestehen keinerlei Hinweise. Auch die Beschwerdeführerin selbst rechnet nicht mit einer solchen Entwicklung (vgl. den Finanzplan 2016 bis 2020 der Gemeinde A.____, der für die kommenden Jahre von steigenden Steuereinnahmen ausgeht). Die nach heutigem Kenntnisstand als rein theoretisch und weit entfernt zu bezeichnende Möglichkeit eines kurz bevorstehenden Einbruchs der Steuereinnahmen in historischem Ausmass, der zu einer be- deutsamen Unterdeckung des Ausgleichsfonds führt und damit wiederum eine Erhöhung der Pro-Kopf-Beiträge an den Ausgleichsfonds nach sich zieht, kann nicht als ernsthaft drohender Nachteil anerkannt werden. Eine derartig unwahrscheinliche Beeinträchtigung verschafft der Beschwerdeführerin kein ausreichend schutzwürdiges Interesse an der Beschwerdeführung, zumal Gemeinwesen nach der Rechtsprechung nur restriktiv zur auf die allgemeine Legitimati-</w:t>
      </w:r>
    </w:p>
    <w:p>
      <w:r>
        <w:t>Seite 5 http://www.bl.ch/kantonsgericht onsklausel gestützten Beschwerdeführung zuzulassen sind (vgl. KGE VV vom 12. April 2017 [810 17 95] S. 2; KGE VV vom 3. Juni 2009, in: BLKGE 2009 S. 306 E. 3.5; BGE 141 II 161 E. 2.1).</w:t>
      </w:r>
    </w:p>
    <w:p>
      <w:r>
        <w:t>4.3 Der Beschwerdeführerin geht es denn auch offensichtlich nicht um die Abwendung einer drohenden Erhöhung der Pro-Kopf-Beiträge an den Ausgleichsfonds. Sie erachtet vielmehr das Vorgehen des Regierungsrates, das Ausgleichsniveau per Verordnungsänderung rückwirkend anzupassen, für unzulässig. Gegen die beanstandete Teilrevision der Finanzausgleichsverord- nung selber hat sie allerdings keine Erlassbeschwerde (§ 27 ff. VPO) erhoben. Für die Legiti- mation zur verwaltungsgerichtlichen Beschwerde genügt das von ihr vorgebrachte allgemeine Interesse an der richtigen Rechtsanwendung generell nicht (KGE VV vom 23. August 2017 [810 17 55] E. 1; BGE 140 V 321 E. 2.1.1; BGE 135 II 145 E. 6; KIENER/RÜTSCHE/KUHN, a.a.O., Rz. 1464). Diese Regel gilt auch bei Verfügungen des Kantons, die den Finanzausgleich betref- fen. Auch dort kann sich eine Gemeinde nach der Rechtsprechung des Kantonsgerichts nur auf die allgemeine Legitimationsklausel berufen, wenn sie in spezifischer Weise betroffen ist und nicht bloss das allgemeine Interesse an der richtigen Rechtsanwendung geltend macht (KGE VV vom 13. September 2017 [810 16 386] E. 1). Ebenso wenig berechtigt die Wahrnehmung sonstiger ausschliesslich öffentlicher Interessen zur verwaltungsgerichtlichen Beschwerde (vgl. BGE 135 II 172 E. 2.1; BGE 131 II 587 E. 3). Soweit die Beschwerdeführerin den Abbau des Fondsbestands aus praktischen und politischen Gründen für inopportun erachtet, vermag sie damit ebenfalls kein schutzwürdiges Interesse darzutun.</w:t>
      </w:r>
    </w:p>
    <w:p>
      <w:r>
        <w:rPr>
          <w:b/>
        </w:rPr>
        <w:t>E. 5</w:t>
      </w:r>
    </w:p>
    <w:p>
      <w:r>
        <w:t>September 2007, in: BLKGE 2007 S. 153 E. 2.3). Auf die verwaltungsgerichtliche Beschwer- de kann somit mangels Beschwerdelegitimation nicht eingetreten werden.</w:t>
      </w:r>
    </w:p>
    <w:p>
      <w:r>
        <w:rPr>
          <w:b/>
        </w:rPr>
        <w:t>E. 6</w:t>
      </w:r>
    </w:p>
    <w:p>
      <w:r>
        <w:t>Sinngemäss erhebt die Beschwerdeführerin zugleich Beschwerde wegen Verletzung der Gemeindeautonomie. Nach § 41 VPO können die Einwohner- und Bürgergemeinden Verfügun- gen und Entscheide letztinstanzlicher Verwaltungsbehörden des Kantons wegen Verletzung der Gemeindeautonomie beim Verfassungsgericht anfechten. In diesen Fällen haben die Körper- schaften kein zusätzliches schutzwürdiges Interesse an der Aufhebung oder Änderung der an- gefochtenen Verfügung darzutun; vielmehr ergibt sich die materielle Beschwer aus der gerügten Autonomieverletzung. Allerdings muss die Gemeinde als Legitimationsvoraussetzung ausrei- chend begründen, worin die behauptete Verletzung der Autonomie liegen soll. Sie hat in ihrer Beschwerdeschrift aufzuzeigen, dass sie durch einen Akt in ihrer Eigenschaft als Trägerin ho- heitlicher Gewalt berührt ist bzw. inwiefern sie im betreffenden Sachbereich einen relativ erheb-</w:t>
      </w:r>
    </w:p>
    <w:p>
      <w:r>
        <w:t>Seite 6 http://www.bl.ch/kantonsgericht lichen Entscheidungsspielraum haben soll (BGE 140 I 90 E. 1.1; Urteil des BGer 2C_214/2015 vom 6. August 2015 E. 1.2.2; RENÉ WIEDERKEHR, Die Beschwerdebefugnis des Gemeinwesens nach Art. 89 Abs. 1 BGG, recht 2016, S. 83; KIENER/RÜTSCHE/KUHN, a.a.O., Rz. 1493 ff.). Die Beschwerdebegründung enthält diesbezüglich keinerlei Ausführungen. Die Beschwerdeführerin behauptet damit nicht, dass ihr das kantonale Recht auf dem Gebiet des Finanzausgleichs überhaupt einen Entscheidungsspielraum einräumt (zu Recht: Beim Finanzausgleich kommt den Gemeinden kein Selbstbestimmungsrecht zu, vgl. KGE VV vom 18. September 2013 [810</w:t>
      </w:r>
    </w:p>
    <w:p>
      <w:r>
        <w:rPr>
          <w:b/>
        </w:rPr>
        <w:t>E. 10</w:t>
      </w:r>
    </w:p>
    <w:p>
      <w:r>
        <w:t>339] E. 7.2; BGE 135 I 43 E. 1.2). Wenn die Beschwerdeführerin im Weiteren diverse Ver- fassungsparagraphen anruft und diesen den Gehalt einer verfassungsmässigen Garantie bei- misst, so ist dies von Vornherein unbehelflich. Im Rahmen einer Autonomiebeschwerde kann die Gemeinde nur eine Verletzung anderer Verfassungsgrundsätze rügen, soweit deren Verlet- zung mit dem streitigen Eingriff in die Autonomie in engem Zusammenhang steht (BGE 131 I 91 E. 1; BGE 129 I 313 E. 4.1). Im Übrigen ist sie zur Anrufung allgemeiner verfassungsrechtlicher Garantien nicht legitimiert (vgl. Urteil des BGer 8C_650/2009 vom 21. Januar 2010 E. 7.1; HANSJÖRG SEILER, in: Seiler et al. [Hrsg.], Stämpfli-Kommentar zum Bundesgerichtsgesetz, 2. Aufl., Bern 2015, Rz. 86 zu Art. 89 BGG). Aus den genannten Gründen sind vorliegend die Eintretensvoraussetzungen für die Beschwerde wegen Verletzung der Gemeindeautonomie nicht erfüllt.</w:t>
      </w:r>
    </w:p>
    <w:p>
      <w:r>
        <w:t>7. Zusammenfassend sind vorliegend offenkundig weder die Eintretensvoraussetzungen zur verwaltungsgerichtlichen Beschwerde nach § 43 ff. VPO noch diejenigen zur Autonomiebe- schwerde nach § 41 VPO erfüllt. Entgegen der Auffassung der Beschwerdeführerin existiert auch kein verfassungsunmittelbares Rechtsmittel, mit dem Gemeinden auf dem Gebiet des Fi- nanzausgleichs gegen den Kanton vorgehen könnten. Auf die Beschwerde ist demnach im ein- zelrichterlichen Verfahren nicht einzutreten (§ 1 Abs. 3 lit. e VPO).</w:t>
      </w:r>
    </w:p>
    <w:p>
      <w:r>
        <w:t>8. Gemäss § 20 Abs. 1 VPO ist das Verfahren vor dem Kantonsgericht kostenpflichtig. Die Verfahrenskosten umfassen die Gerichtsgebühren und die Beweiskosten und werden in der Regel der unterliegenden Partei in angemessenem Ausmass auferlegt (§ 20 Abs. 3 VPO). An- gesichts des Ausgangs des Verfahrens sind die Verfahrenskosten in der Höhe von Fr. 300.-- der Beschwerdeführerin aufzuerlegen und mit dem geleisteten Kostenvorschuss in der Höhe von Fr. 1'400.-- zu verrechnen. Der zuviel bezahlte Kostenvorschuss in der Höhe von Fr. 1'100.-- ist ihr zurückzuerstatten. Als unterliegende Partei hat die Beschwerdeführerin kei- nen Anspruch auf Zusprechung einer Parteientschädigung (§ 21 Abs. 1 VPO). Die Parteikosten sind dementsprechend wettzuschlagen.</w:t>
      </w:r>
    </w:p>
    <w:p>
      <w:r>
        <w:t>Seite 7 http://www.bl.ch/kantonsgericht Demgemäss wird e r k a n n t :</w:t>
      </w:r>
    </w:p>
    <w:p>
      <w:r>
        <w:t>://: 1. Auf die Beschwerde wird nicht eingetreten.</w:t>
      </w:r>
    </w:p>
    <w:p>
      <w:r>
        <w:t>2. Die Verfahrenskosten in der Höhe von Fr. 300.-- werden der Be- schwerdeführerin auferlegt und mit dem geleisteten Kostenvorschuss in der Höhe von Fr. 1'400.-- verrechnet. Der zu viel bezahlte Kostenvor- schuss in der Höhe von Fr. 1'100.-- wird der Beschwerdeführerin zu- rückerstattet.</w:t>
      </w:r>
    </w:p>
    <w:p>
      <w:r>
        <w:t>3. Die Parteikosten werden wettgeschlagen.</w:t>
      </w:r>
    </w:p>
    <w:p>
      <w:r>
        <w:t>4. Eine Kopie der Beschwerdebegründung vom 10. Januar 2018 wird dem Beschwerdegegner zur Kenntnisnahme zugestellt.</w:t>
      </w:r>
    </w:p>
    <w:p>
      <w:r>
        <w:t>Präsidentin</w:t>
      </w:r>
    </w:p>
    <w:p>
      <w:r>
        <w:t>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