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2015_06_19_1 vom 19. Juni 2015</w:t>
      </w:r>
    </w:p>
    <w:p>
      <w:r>
        <w:t>BL Gerichte, 2015-06-19, DE</w:t>
      </w:r>
    </w:p>
    <w:p>
      <w:r>
        <w:rPr>
          <w:b/>
        </w:rPr>
        <w:t xml:space="preserve">Quelle: </w:t>
      </w:r>
      <w:r>
        <w:t>https://mcp.opencaselaw.ch/entscheid/bl_gerichte_2015_06_19_1</w:t>
      </w:r>
    </w:p>
    <w:p>
      <w:r>
        <w:t>FR: BL_GERICHTE 2015_06_19_1 du 19 juin 2015</w:t>
      </w:r>
    </w:p>
    <w:p>
      <w:r>
        <w:t>IT: BL_GERICHTE 2015_06_19_1 del 19 giugno 2015</w:t>
      </w:r>
    </w:p>
    <w:p>
      <w:pPr>
        <w:pStyle w:val="Heading2"/>
      </w:pPr>
      <w:r>
        <w:t>Regeste</w:t>
      </w:r>
    </w:p>
    <w:p>
      <w:r>
        <w:t>Verfahren bei Verletzung von Ersatzmassnahmen</w:t>
      </w:r>
    </w:p>
    <w:p>
      <w:pPr>
        <w:pStyle w:val="Heading2"/>
      </w:pPr>
      <w:r>
        <w:t>Erwägungen</w:t>
      </w:r>
    </w:p>
    <w:p>
      <w:r>
        <w:rPr>
          <w:b/>
        </w:rPr>
        <w:t>E. 1</w:t>
      </w:r>
    </w:p>
    <w:p>
      <w:r>
        <w:t>StPO);</w:t>
      </w:r>
    </w:p>
    <w:p>
      <w:r>
        <w:t>Entscheid des Zwangsmassnahmengerichts vom 19. Juni 2015 2015 (350 15 401)</w:t>
      </w:r>
    </w:p>
    <w:p>
      <w:r>
        <w:t>Gegen diesen Entscheid hat die Staatsanwaltschaft eine Beschwerde an das Kantonsgericht, Abteilung Strafrecht, erhoben. Diese Beschwerde ist mit Beschluss vom 4. August 2015 abgewiesen worden. Mit Urteil vom 21. Oktober 2015 ist das Schweizerische Bundesgericht auf eine Beschwerde der Staatsanwaltschaft nicht eingetreten (1B_312/2015).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