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2015-12-04-stger-1 vom 4. Dezember 2015</w:t>
      </w:r>
    </w:p>
    <w:p>
      <w:r>
        <w:t>BL Gerichte, 2015-12-04, DE</w:t>
      </w:r>
    </w:p>
    <w:p>
      <w:r>
        <w:rPr>
          <w:b/>
        </w:rPr>
        <w:t xml:space="preserve">Quelle: </w:t>
      </w:r>
      <w:r>
        <w:t>https://mcp.opencaselaw.ch/entscheid/bl_gerichte_2015-12-04-stger-1</w:t>
      </w:r>
    </w:p>
    <w:p>
      <w:r>
        <w:t>FR: BL_GERICHTE 2015-12-04-stger-1 du 4 décembre 2015</w:t>
      </w:r>
    </w:p>
    <w:p>
      <w:r>
        <w:t>IT: BL_GERICHTE 2015-12-04-stger-1 del 4 dicembre 2015</w:t>
      </w:r>
    </w:p>
    <w:p>
      <w:pPr>
        <w:pStyle w:val="Heading2"/>
      </w:pPr>
      <w:r>
        <w:t>Regeste</w:t>
      </w:r>
    </w:p>
    <w:p>
      <w:r>
        <w:t>Steuererlass</w:t>
      </w:r>
    </w:p>
    <w:p>
      <w:pPr>
        <w:pStyle w:val="Heading2"/>
      </w:pPr>
      <w:r>
        <w:t>Erwägungen</w:t>
      </w:r>
    </w:p>
    <w:p>
      <w:r>
        <w:rPr>
          <w:b/>
        </w:rPr>
        <w:t>E. 1</w:t>
      </w:r>
    </w:p>
    <w:p>
      <w:r>
        <w:t>Mit Verfügungen vom 25. April 2013 wurde die Pflichtige zur Zahlung einer Staatssteuer 2011 in Höhe von Fr. 1‘406.65 sowie direkten Bundessteuern 2011 in Höhe von Fr. 128.55 und am 23. Januar 2014 zur Zahlung einer Staatssteuer 2012 in Höhe von Fr. 357.55 sowie direkten Bundessteuern 2012 in Höhe von Fr. 53.10, total somit Fr. 1‘945.85 veranlagt.</w:t>
      </w:r>
    </w:p>
    <w:p>
      <w:r>
        <w:rPr>
          <w:b/>
        </w:rPr>
        <w:t>E. 2</w:t>
      </w:r>
    </w:p>
    <w:p>
      <w:r>
        <w:t>Mit Gesuch an die Taxations- und Erlasskommission vom 5. Februar 2015 beantragte die Pflichtige den Erlass der Staats- und direkten Bundesteuern 2011 und 2012. Zur Begrün- dung machte sie geltend, per 1. Januar 2010 sei sie arbeitslos und per 1. August 2012 ausge- steuert worden und habe seither Sozialhilfe bezogen. Ihre gesundheitliche Situation habe sich derart verschlechtert, dass sie seit dem 1. September 2013 eine volle Invalidenrente (IV-Rente) und Ergänzungsleistungen (EL) beziehe.</w:t>
      </w:r>
    </w:p>
    <w:p>
      <w:r>
        <w:rPr>
          <w:b/>
        </w:rPr>
        <w:t>E. 3</w:t>
      </w:r>
    </w:p>
    <w:p>
      <w:r>
        <w:t>Mit Entscheid vom 23. April 2015 wies die Taxations- und Erlasskommission das Ge- such ab. Zur Begründung führte sie aus, neben dem Einkommen sei auch allfällig vorhandenes Vermögen zu berücksichtigen. Vorliegend habe die Gesuchstellerin per 31. Dezember 2014 Fr. 5‘000.-- auf ihr Sparkonto überwiesen. lm Weiteren sei gemäss dem EL-Berechnungsblatt noch eine unverteilte Erbschaft in Höhe von rund Fr. 17‘000.-- vorhanden.</w:t>
      </w:r>
    </w:p>
    <w:p>
      <w:r>
        <w:rPr>
          <w:b/>
        </w:rPr>
        <w:t>E. 4</w:t>
      </w:r>
    </w:p>
    <w:p>
      <w:r>
        <w:t>Mit Eingabe vom 21. Mai 2015 erhob die Pflichtige mit dem Begehren, die Staats- und direkten Bundesteuern 2011 und 2012 seien zu erlassen, Rekurs. Zur Begründung machte sie geltend, die Angaben gemäss dem EL-Berechnungsblatt betreffend die unverteilte Erbschaft seien nicht korrekt. Der Betrag sei zu hoch angesetzt und die Erbschaft sei verteilt. Der aktuelle Kontostand enthalte den Rest der Erbschaft.</w:t>
      </w:r>
    </w:p>
    <w:p>
      <w:r>
        <w:rPr>
          <w:b/>
        </w:rPr>
        <w:t>E. 5</w:t>
      </w:r>
    </w:p>
    <w:p>
      <w:r>
        <w:t>Mit Vernehmlassung vom 15. Juni 2015 beantragte die Taxations- und Erlasskommissi- on die Abweisung des Rekurses. Zur Begründung führte sie aus, aufgrund des vorhandenen Vermögens sei die Bezahlung der Steuern möglich.</w:t>
      </w:r>
    </w:p>
    <w:p>
      <w:r>
        <w:t>Seite 3</w:t>
      </w:r>
    </w:p>
    <w:p>
      <w:r>
        <w:rPr>
          <w:b/>
        </w:rPr>
        <w:t>E. 6</w:t>
      </w:r>
    </w:p>
    <w:p>
      <w:r>
        <w:t>Abschliessend stellt sich die Frage, ob die Taxations- und Erlasskommission legitimiert ist, den vorliegenden Entscheid anzufechten.</w:t>
      </w:r>
    </w:p>
    <w:p>
      <w:r>
        <w:t>a) Gemäss § 131 Abs. 1 StG kann gegen den Entscheid des Steuergerichts innert 30 Tagen beim Kantonsgericht (Abteilung Verfassungs- und Verwaltungsrecht) schriftlich Be- schwerde erhoben werden. Gemäss § 131 Abs. 2 StG sind zur Beschwerde der Steuerpflichti- ge, die Gemeinde und die kantonale Steuerverwaltung befugt. Die Taxations- und Erlasskom- mission wird in dieser Bestimmung nicht erwähnt.</w:t>
      </w:r>
    </w:p>
    <w:p>
      <w:r>
        <w:t>b) Mit Blick auf die erweiterte Beschwerdebefugnis nach dem Wortlaut von § 47 VPO stellt sich die Frage, ob die Beschwerdebefugnis nach § 131 Abs. 2 StG im Steuerbereich abschliessend zu verstehen ist und damit strengeren Anforderungen an die Legitimation stellt als die subsidiär anwendbaren allgemeinen Bestimmungen. Dies erscheint aufgrund des weiter- führenden Rechtsmittels ans Bundesgericht nicht der Fall zu sein. Im Rahmen der Beschwerde in öffentlich-rechtlichen Angelegenheiten gemäss Art. 82 ff. des Bundesgesetzes über das Bun- desgericht (Bundesgerichtsgesetz, BGG) vom 17. Juni 2005 wären diesfalls die Legitimations- anforderungen auf Ebene des Kantonsgerichts enger, was zu einer Verletzung von Bundes- recht führen würde (vgl. Art. 89 BGG i.V.m. Art. 110 ff. BGG; BGE vom 7. Februar 2011, 1C_249/2010, E. 3) (vgl. zum Ganzen Ziegler in: Nefzger/Simonek/Wenk, Kommentar zum Steuergesetz des Kantons Basel-Landschaft, § 131 N 13).</w:t>
      </w:r>
    </w:p>
    <w:p>
      <w:r>
        <w:t>c) Die Zuständigkeit zur Anwendung des Erlassparagraphen liegt gestützt auf § 139b Abs. 2 StG bei der Taxations- und Erlasskommission. Gestützt auf dieselbe Norm hat sie als Partei am vorliegenden Verfahren teilgenommen. Die Taxations- und Erlasskommission ist durch den Entscheid berührt und hat ein schutzwürdiges Interesse an der Änderung oder Auf- hebung desselben.</w:t>
      </w:r>
    </w:p>
    <w:p>
      <w:r>
        <w:t>Seite 13</w:t>
      </w:r>
    </w:p>
    <w:p>
      <w:r>
        <w:t>d) Aus alledem ergibt sich, dass die Taxations- und Erlasskommission nach Ansicht des Steuergerichts legitimiert ist, den vorliegenden Entscheid anzufechten. Über diese Frage wird indes bei einer allfälligen Beschwerde das Kantonsgericht zu entscheiden haben, welches die Legitimation in freier Kognition von Amtes wegen prüft (vgl. Ziegler, a.a.O., § 131 N 14, mit weiteren Hinweisen).</w:t>
      </w:r>
    </w:p>
    <w:p>
      <w:r>
        <w:t>Seite 14</w:t>
      </w:r>
    </w:p>
    <w:p>
      <w:r>
        <w:t>Demgemäss w i r d e r k a n n t :</w:t>
      </w:r>
    </w:p>
    <w:p>
      <w:r>
        <w:t>://: 1. Der Rekurs wird in Sinne der Erwägungen gutgeheissen.</w:t>
      </w:r>
    </w:p>
    <w:p>
      <w:r>
        <w:t>2. Es werden keine Kosten erhoben.</w:t>
      </w:r>
    </w:p>
    <w:p>
      <w:r>
        <w:t>3. Mitteilung an die Rekurrentin (1), die Gemeinde D.____(1) und die Taxations- und Er- lasskommission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