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04 56 vom 31. August 2004</w:t>
      </w:r>
    </w:p>
    <w:p>
      <w:r>
        <w:t>BL Gerichte, 2004-08-31, DE</w:t>
      </w:r>
    </w:p>
    <w:p>
      <w:r>
        <w:rPr>
          <w:b/>
        </w:rPr>
        <w:t xml:space="preserve">Quelle: </w:t>
      </w:r>
      <w:r>
        <w:t>https://mcp.opencaselaw.ch/entscheid/bl_gerichte_100_04_56</w:t>
      </w:r>
    </w:p>
    <w:p>
      <w:r>
        <w:t>FR: BL_GERICHTE 100 04 56 du 31 août 2004</w:t>
      </w:r>
    </w:p>
    <w:p>
      <w:r>
        <w:t>IT: BL_GERICHTE 100 04 56 del 31 agosto 2004</w:t>
      </w:r>
    </w:p>
    <w:p>
      <w:pPr>
        <w:pStyle w:val="Heading2"/>
      </w:pPr>
      <w:r>
        <w:t>Regeste</w:t>
      </w:r>
    </w:p>
    <w:p>
      <w:r>
        <w:t>Informationspflichten der Strafuntersuchungsbehörden betreffend das Zustandekommen der Protokolle der Telefonkontrolle (Art. 29 Abs. 2 und Art. 36 BV, Art. 6 Ziff. 3 EMRK, § 40 StPO, Art. 307 StGB; E. 3.4).</w:t>
      </w:r>
    </w:p>
    <w:p>
      <w:pPr>
        <w:pStyle w:val="Heading2"/>
      </w:pPr>
      <w:r>
        <w:t>Erwägungen</w:t>
      </w:r>
    </w:p>
    <w:p>
      <w:r>
        <w:rPr>
          <w:b/>
        </w:rPr>
        <w:t>E. 1</w:t>
      </w:r>
    </w:p>
    <w:p>
      <w:r>
        <w:t>(…)</w:t>
      </w:r>
    </w:p>
    <w:p>
      <w:r>
        <w:rPr>
          <w:b/>
        </w:rPr>
        <w:t>E. 2</w:t>
      </w:r>
    </w:p>
    <w:p>
      <w:r>
        <w:t>(…) 3.1 -3.3 (…) 3.4 Gemäss der Praxis des Bundesgerichts ergibt sich aus dem in Art. 29 Abs. 2 BV bzw. Art. 6 Ziff. 3 EMRK verankerten Anspruch auf rechtliches Gehör das grundsätzlich uneingeschränkte Recht, in alle für das Verfahren wesentlichen Akten Einsicht zu nehmen. Die Produktion von Beweismitteln muss für den Angeklagten (und das Gericht) nachvollziehbar sein.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(BGE 129 IV 88 E. 4.1; mit Hinweisen). In Bezug auf Telefonabhörprotokolle im Speziellen verlangt das Bundesgericht, dass ersichtlich ist, wer sie erstellt hat und ob diese Personen Beamte sind oder auf die Straffolgen gemäss Art. 307 StGB für falsches Gutachten oder falsche Übersetzung hingewiesen worden sind. Ebenso muss bekannt sein, wie sie zustande gekommen sind, ob die Tonkassetten direkt übersetzt wurden oder ob zunächst Niederschriften in der Sprache, in welcher die Gespräche geführt wurden, erstellt und diese dann übersetzt wurden (BGE 129 IV 89 E. 4.2). Wie die Vorinstanz richtig ausführt, sind die Telefonkontrollen gemäss den massgeblichen gesetzlichen Bestimmungen formell korrekt erhoben worden; darauf kann verwiesen werden (Urteil des Strafgerichts S. 26; act. 405 ff., 517 ff.). Dass die Bestimmung von § 40 StPO, wonach bei Vorliegen von besonderen Umständen ausnahmsweise die Identität von (unter anderem) Übersetzerinnen und Übersetzern zum persönlichen Schutz im Strafverfahren geheim gehalten werden kann, die verfassungsmässigen Rechte des Angeklagten einschränkt, ist unzweifelhaft, inwiefern aber diese Bestimmung die verfassungsmässigen Rechte des Angeklagten verletzen soll, wird von diesem nicht dargelegt und ist insbesondere im Lichte von Art. 36 BV nicht ersichtlich. Hinzu kommt vorliegend, dass der Leiter der Drogenfahndung Basel-Landschaft in seinem Bericht vom 21. Februar 2003 betreffend die Art der Erstellung der Telefonabhörprotokolle und der für die Übersetzung verantwortlichen Person wie folgt Auskunft gegeben hat: Die Identität der übersetzenden Person werde gestützt auf § 40 StPO geheim gehalten. In den Verfahren „Aktion S." und „K." sei von der Polizei dieselbe Person eingesetzt worden. Die Personalien der übersetzenden Person seien in einem Umschlag im Tresor der Abteilung Kriminalitätsbekämpfung deponiert und könnten dort durch die Gerichtspräsidien eingesehen werden. Die Telefongespräche seien direkt ab Tonträger in die deutsche Sprache übersetzt und von der übersetzenden Person in deutscher Sprache niedergeschrieben worden. Die übersetzende Person sei bei Beginn der Arbeit als Übersetzer mündlich auf die Folgen falscher Übersetzung hingewiesen worden. Unterschriftlich sei sie nicht auf die Folgen falscher Übersetzung hingewiesen worden, es handle sich bei ihr aber um eine integre Person, die bereits seit Jahren für die Drogenfahndung tätig sei (act. 586/5 f.). Damit ist den Informationspflichten betreffend das Zustandekommen der Protokolle Genüge getan. Des Weiteren sind dem Angeklagten alle wesentlichen Telefonate im Rahmen der Untersuchung in seiner Muttersprache vorgespielt worden (act. 973 ff.), ohne dass dieser inhaltliche Einwände erhoben hat. Die bei den Einvernahmen anwesende dolmetschende Person wurde ausdrücklich auf die Wahrheitspflicht und die Straffolgen hingewiesen (act. 967). Dass nicht alle Protokolle dem Angeklagten vorgehalten worden sind, ist durch die grosse Anzahl begründet; dieser hatte jedoch die Gelegenheit, in die vollständigen Verfahrensakten und damit auch in die Protokolle der nicht vorgespielten Telefonkontrollen Einsicht zu nehmen. Der naturgemässen Unklarheit, ob sich tatsächlich alle am Telefon besprochenen Geschehnisse verwirklicht haben, hat die Vorinstanz in der Weise Rechnung getragen, dass sie etwaige Unsicherheiten jeweils zu Gunsten des Angeklagten ausgelegt hat. Demnach ist die Kritik des Angeklagten an den Protokollen der Telefonkontrolle unbegründet (vgl. dazu auch das Urteil des Kantonsgerichts i.S. K. M. vom 20. Mai 2003 [71-02/879 {A 252 }] S. 6 ff.). 4.1 -4.3 (…) 4.4 Der in Art. 6 Ziff. 3 lit. d EMRK garantierte Anspruch des Angeschuldigten, den Belastungszeugen Fragen zu stellen, ist ein besonderer Aspekt des Rechts auf ein faires Verfahren gemäss Art. 6 Ziff. 1 EMRK.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Dieser Anspruch wird als Konkretisierung des rechtlichen Gehörs (Art. 29 Abs. 2 BV) auch durch Art. 32 Abs. 2 BV gewährleistet. Das Ziel der Norm ist die Wahrung der Waffengleichheit. Dem Anspruch, den Belastungszeugen Fragen zu stellen, kommt grundsätzlich ein absoluter Charakter zu. Demgegenüber ist das Recht, Entlastungszeugen zu laden und zu befragen, relativer Natur. Das Gericht hat insoweit nur solche Beweisbegehren, Zeugenladungen und Fragen zu berücksichtigen und zuzulassen, die nach seiner Würdigung rechts- und entscheiderheblich sind. Das strenge Erfordernis des Anspruchs auf Befragung von Belastungszeugen erfährt in der Praxis eine gewisse Abschwächung; es gilt uneingeschränkt nur in jenen Fällen, bei denen dem streitigen Zeugnis ausschlaggebende Bedeutung zukommt, dieses also den einzigen oder einen wesentlichen Beweis darstellt (BGE 129 I 153 E. 3.1, mit zahlreichen Hinweisen). In diesem Sinne hat der Gerichtshof für Menschenrechte trotz der absoluten Natur des Rechts des Beschuldigten auf Befragung von Belastungszeugen Konventionsverletzungen in verschiedenen Fällen verneint. Er führte aus, es sei aus praktischen Gründen nicht in allen Fällen möglich, dem Anspruch auf Konfrontation uneingeschränkt gerecht zu werden. Wenn der Zeuge aus äusseren Umständen, die die Behörden nicht zu vertreten haben, nicht einvernommen und dem Beschuldigten nicht gegenübergestellt werden konnte, hat der Gerichtshof angesichts der besonderen Umstände des zu beurteilenden Einzelfalles eine Konventionsverletzung verneint: Im Fall F. war der Zeuge verstorben, im Fall A. und D. war ein Zeuge trotz angemessener Nachforschungen unauffindbar und im Fall As. berief sich die Anzeigerin und Zeugin auf ihr Aussageverweigerungsrecht. In all diesen Fällen war von Bedeutung, dass das belastende Zeugnis nicht den einzigen oder den ausschlaggebenden Beweis darstellte (zitiert in: BGE 125 I 136 E. 6c/dd, mit Hinweisen). In diesem Sinne hat auch das Bundesgericht ausgeführt, es könne ferner bei vorübergehender oder dauernder Einvernahmeunfähigkeit des Zeugen, oder wenn sich dieser vor dem Beschuldigten fürchtet oder wenn der Zeuge sich in erheblicher Entfernung befindet von einer direkten Konfrontation abgesehen werden (BGE 125 I 136 E. 6c/dd, mit Hinweisen). Da die Interessen der Verteidigung und diejenigen des Opfers im Lichte von Art. 8 EMRK gegeneinander abgewogen werden müssen, kann die Garantie von Art. 6 Ziff. 3 lit. d EMRK allenfalls auch ohne Konfrontation mit dem Angeklagten oder direkte Befragung des Opfers durch den Verteidiger gewährleistet werden (BGE 129 I 155 E. 3.2, mit Hinweisen). Zur Wahrung der Verteidigungsrechte ist erforderlich, dass die Gelegenheit der Befragung angemessen und ausreichend ist und die Befragung tatsächlich wirksam ausgeübt werden kann. Der Beschuldigte muss namentlich in der Lage sein, die Glaubhaftigkeit einer Aussage prüfen und den Beweiswert auf die Probe und in Frage stellen zu können. Die Fragen der Verteidigung sind nur zuzulassen, wenn sie irgendwie erheblich sind; die Abweisung offensichtlich untauglicher Beweisanträge verletzt die verfassungsmässigen Rechte des Angeklagten nicht. Um ein faires Verfahren sicherzustellen, sind Schwierigkeiten, die der Verteidigung durch eine Einschränkung ihrer Rechte während der Untersuchung entstehen, durch die von den Gerichten durchgeführten Verfahrensschritte hinreichend auszugleichen (BGE 129 I 157 E. 4.2, mit zahlreichen Hinweisen). Ist die betreffende Aussage indes der einzige oder doch überwiegend ausschlaggebende Beweis, stösst man an eine fast absolute Grenze, bei der auch ausgleichende Massnahmen keine hinreichende Kompensation bieten können; in einem solchen Fall darf auf die betreffende Zeugenaussage nicht abgestellt werden (Dorrit Schleiminger, Konfrontation im Strafprozessrecht, Diss., Basel 2001, S. 27, mit Verweis auf BGE 125 I 139 E. 6d/dd). Bei einem Belastungszeugen, dessen Aussagen als das einzige oder ausschlaggebende Beweismittel die Grundlage des Urteils bilden, darf die Beantwortung von Fragen der Verteidigung an diesen nicht mittels antizipierter Beweiswürdigung für nicht notwendig erklärt werden. Schliessen es die berechtigen Interessen (namentlich jene des minderjährigen Opfers) aus, dass der Angeklagte Fragen stellen lässt, darf auf die entsprechende Zeugenaussage grundsätzlich nicht abgestellt und der Angeklagte nicht allein gestützt auf solche Aussagen verurteilt werden (BGE 129 I 157 E. 4.3, mit Hinweisen). 4.5 Es ist unbestritten, dass E. J., L. M., K. M., B. B., R. T. und S. B. nicht mit dem Angeklagten konfrontiert worden sind. Vorliegend von Bedeutung sind nur die Aussagen von E. J. und L. M., da die Aussagen der anderen den Angeklagten nicht belasten oder den Sachverhalt im Jahre 1999 betreffen. Nach § 38 StPO können die angeschuldigte Person und ihre Verteidigung an Einvernahmen von Zeuginnen und Zeugen, Auskunftspersonen und Sachverständigen sowie an Augenscheinen teilnehmen, wenn keine Beeinträchtigung des Verfahrenszwecks zu befürchten ist. Sie können, wenn die Verfahrensleitung ihre Befragungen abgeschlossen hat, selbst Fragen stellen lassen (Abs. 1). Termine sind den Teilnahmeberechtigten rechtzeitig mitzuteilen (Abs. 2). Beweiserhebungen nach Abs. 1 sind ungültig, wenn der Termin der angeschuldigten Person oder ihrer Verteidigung nicht rechtzeitig mitgeteilt worden ist (Abs. 4). Grundsätzlich ist zu verlangen, dass der Angeschuldigte bzw. sein Rechtsvertreter zur Wahrnehmung der Verteidigungsrechte rechtzeitig und in angemessener Weise aktiv werden. Auf das Recht, Zeugen zu befragen, kann ausdrücklich oder stillschweigend verzichtet werden; ein solcher Verzicht macht die Zeugenaussage weder nichtig noch lässt er einen Anspruch auf Wiederholung entstehen (BGE 121 Ia 309 E. 1b). Reagiert ein Angeschuldigter nicht auf ihm zugestellte Vorladungen hinsichtlich der Befragung von Belastungszeugen in der Voruntersuchung, so liegt nach der Praxis des Kantonsgerichts ein stillschweigender Verzicht auf das Konfrontationsrecht vor (Entscheid des KGZS vom 16. September 2002, in: Amtsbericht des Kantonsgerichts 2002, S. 89). Nachdem die Staatsanwaltschaft nicht geltend macht, der Angeklagte sei zu den Einvernahmen vorgeladen worden und die kantonale StPO keine Vorschriften betreffend Form und Frist von Beweisanträgen enthält, ist dem Einwand der Staatsanwaltschaft, der Angeklagte hätte zu einem früheren Zeitpunkt die Konfrontation beantragen müssen, nicht zu folgen, da es die Aufgabe der Untersuchungsbehörden ist, die Schuld des Angeklagten entsprechend den verfassungs- und strafprozessualen Vorschriften nachzuweisen, weshalb dieser sich trotz seiner prozessualen Mitwirkungspflichten darauf beschränken kann, die Verwertbarkeit der Beweismittel zu bestreiten, was er auch im Verfahren vor dem Strafgericht getan hat (vgl. dazu BGE 129 I 90 E. 4.4). Entscheidend ist in diesem Zusammenhang nicht, dass tatsächlich eine Konfrontation stattgefunden hat, sondern vielmehr, dass dem Angeklagten die Möglichkeit zu einer solchen hätte eingeräumt werden müssen. Die Ansicht der Staatsanwaltschaft, wonach die Verwertung der Aussagen der genannten Belastungszeugen zwar beantragt, ihnen jedoch keine entscheidende Bedeutung zugemessen wird, ist zudem widersprüchlich. Aufgrund der Aktenlage sind die Aussagen der Belastungszeugen mangels anderer Beweise vor Anhebung der Telefonkontrolle sehr wohl von ausschlaggebender Bedeutung. Sind die Aussagen aber von ausschlaggebender Bedeutung, so kommt dem Anspruch des Angeklagten, dem Belastungszeugen Fragen stellen zu können, grundsätzlich ein absoluter Charakter zu, und die Strafverfolgungsbehörden tragen das Risiko der Unverwertbarkeit, falls sich erst zu einem späteren Zeitpunkt die Evidenz der betreffenden Aussagen herausstellt, zu diesem Zeitpunkt jedoch - wie vorliegend der Fall - eine nachträgliche Konfrontation aufgrund des unbekannten Aufenthaltes des Zeugen E. J. nicht mehr möglich ist. In casu liegen keine äusseren von den Behörden nicht zu vertretenden Umstände vor, weshalb die Zeugen dem Angeklagten nicht gegenübergestellt werden konnten. Das wird dadurch verdeutlicht, dass im Fall L. M. eine Konfrontation mit dem Belastungszeugen E. J. stattgefunden hat. Gemäss der Praxis des Bundesgerichts fällt das ausnahmsweise Abstellen auf Zeugenaussagen trotz fehlender Befragung (beispielsweise aufgrund berechtigter Interessen des Zeugen) schon dann ausser Betracht, wenn die kantonalen Behörden den Umstand selbst zu vertreten haben, dass der Angeklagte seine Rechte nicht (rechtzeitig) hat wahrnehmen können. Bei Verzicht auf die Erhebung weiterer Beweise muss dem Angeklagten entweder die Möglichkeit gegeben werden, den Zeugen in geeigneter Weise befragen zu lassen, oder er darf nur der seinerseits nicht bestrittenen deliktischen Handlungen schuldig erklärt werden (BGE 129 I 158 E. 4.3, mit Hinweisen). Die Entgegnung der Staatsanwaltschaft, es sei nicht ersichtlich, durch welche Ergänzungsfragen der Angeklagte sein Verteidigungsrecht hätte wahren sollen, da E. J. ihn gar nicht direkt belastet habe, ist insofern irrelevant, als bei einem Belastungszeugen, dessen Aussagen als das einzige oder ausschlaggebende Beweismittel die Grundlage des Urteils bilden (sollen), was vorliegend für die Aussagen von E. J. vor Anhebung der Telefonkontrolle der Fall ist, die Beantwortung von Fragen der Verteidigung an diesen nicht mittels antizipierter Beweiswürdigung für nicht notwendig erklärt werden darf. Nach Gesagtem darf trotz der Tatsache, dass der Angeklagte und L. M. gemeinschaftlich in bandenmässiger Vereinigung dem Betäubungsmittelgesetz zuwidergehandelt haben, infolge der Unverwertbarkeit der Aussagen von E. J. die L. M. zurechenbare Menge an umgesetzten Betäubungsmitteln nicht unbesehen auf vorliegenden Fall übernommen werden, sondern es ist betreffend den Angeklagten vielmehr eine eigene Berechnung vorzunehmen. (...) 5.1 -5.3 (…) 5.4 Einleitend ist auszuführen, dass dem Kantonsgericht bei der Überprüfung des angefochtenen Entscheides sowohl hinsichtlich der Appellation als auch in Bezug auf die Anschlussappellation die volle Kognition zusteht. Es steht somit kein formelles Hindernis dem Umstand entgegen, dass die Staatsanwaltschaft in ihrer Anschlussappellation einen vom Angeklagten nicht angefochtenen Freispruch erneuter Prüfung unterstellt. Zuzustimmen ist der Ansicht, dass die Aussagen von I. H. aufgrund eines formellen Mangels nicht verwertbar sind. Der Schlussfolgerung der Vorinstanz, dass deswegen allein aufgrund der Protokolle der Telefonkontrolle ein Schuldspruch nicht erfolgen darf, schliesst sich das Kantonsgericht indessen nicht an. Nach dem Grundsatz der freien Beweiswürdigung (Art. 249 des Bundesgesetzes über die Bundesstrafrechtspflege; § 185 Abs. 1 in Verbindung mit § 170 Abs. 1 Satz 2 StPO) hat das urteilende Gericht frei von Beweisregeln und nur nach seiner persönlichen Ansicht aufgrund gewissenhafter Prüfung darüber zu entscheiden, ob es eine Tatsache für bewiesen hält. Das Gericht trifft sein Urteil unabhängig von der Zahl der Beweismittel, welche für eine bestimmte Tatsache sprechen, und ohne Rücksicht auf die Form des Beweismittels (Robert Hauser/Erhard Schweri, Schweizerisches Strafprozessrecht, 5. Auflage, Basel 2002, § 54 N 3 f.; mit Hinweisen). Im vorliegenden Fall bedeutet dies, dass das Kantonsgericht in Würdigung der Protokolle der Telefonkontrolle prüft, ob diese geeignet und ausreichend sind, um den Angeklagten der Geldwäscherei im Jahre 1999 schuldig zu sprechen. Aus den vorliegend massgeblichen Protokollen der Telefonkontrolle (vgl. act. 2285 f., 2307, 2333, 2433, 2451, 2507, 2535, 2603) wird ersichtlich, dass der Angeklagte im Gespräch mit seinem Vater einerseits mehrfach Geldüberweisungen angekündigt und dieser andererseits mehrfach den Empfang bestätigt hat. Der auf diesem Weg insgesamt transferierte Betrag, der nur aus dem Drogenhandel stammen kann, beläuft sich dabei entsprechend den Ausführungen der Staatsanwaltschaft auf rund CHF 135'700.--. Die in diesem Zusammenhang getätigte Aussage des Angeklagten, er sei zum fraglichen Zeitpunkt nicht mehr in der Schweiz gewesen, ist als Schutzbehauptung zurückzuweisen. Es ist kaum vorstellbar, dass eine andere Person mit dem Telefon des Angeklagten und unter seinem Namen die fraglichen Gespräche mit dem Vater des Angeklagten geführt haben soll. Der im Verhältnis zum Jahre 2001 unterschiedliche Stil beim Telefonieren lässt sich ohne Weiteres dadurch erklären, dass der Angeklagte im Jahre 2001 aufgrund seiner in der Zwischenzeit gemachten Erfahrungen vorsichtiger geworden ist. Demnach ist der Angeklagte in Gutheissung des diesbezüglichen Antrags der Staatsanwaltschaft und in Abänderung des angefochtenen Urteils auch im Jahre 1999 der Geldwäscherei schuldig zu erklären.</w:t>
      </w:r>
    </w:p>
    <w:p>
      <w:r>
        <w:rPr>
          <w:b/>
        </w:rPr>
        <w:t>E. 6</w:t>
      </w:r>
    </w:p>
    <w:p>
      <w:r>
        <w:t>(…) 7.1 -7.3 (…) 7.4 Nach Art. 55 Abs. 1 StGB kann das Gericht die ausländische Person, die zu Zuchthaus oder Gefängnis verurteilt wird, für drei bis 15 Jahre aus dem Gebiete der Schweiz verweisen. Die Landesverweisung verfolgt zwei Zwecke: Einerseits schützt sie die öffentliche Sicherheit, andererseits fügt sie dem Verurteilten als echte Strafe ein Übel zu. Wie die Strafzumessung generell, ist auch die Anordnung einer Landesverweisung so zu begründen, dass die richtige Anwendung des Bundesrechts nachprüfbar ist; insbesondere hat sich das Gericht zum Straf- und Sicherungsbedürfnis zu äussern. Dem Gericht ist ein weites Ermessen eingeräumt (Stefan Trechsel, Schweizerisches Strafgesetzbuch, Kurzkommentar, 2. Auflage, Zürich 1997, N 1 und 1a zu Art. 55 StGB; mit zahlreichen Hinweisen). Bei Erfüllung der Voraussetzungen bleibt es dem Gericht überlassen, ob es von der Sanktion Gebrauch machen will; woran es sich dabei zu orientieren hat, wird nicht durch das Gesetz bestimmt (Günter Stratenwerth, Schweizerisches Strafrecht, Allgemeiner Teil II, Strafen und Massnahmen, Bern 1989, § 6 N 43). Die Entscheidung, ob eine Landesverweisung auszusprechen ist, ist mit Hilfe einer Interessenabwägung - zwischen dem öffentlichen Interesse an der Verhütung weiterer Delikte einerseits und dem privaten Interesse des ausländischen Straftäters am Verbleib in der Schweiz andererseits - zu treffen. Eine Landesverweisung sollte danach nur ausgesprochen werden, wenn die Gefahr besteht, dass der Verurteilte weitere Straftaten begehen könnte. Wie gross diese Gefahr und wie schwer die befürchtenden Delikte sein müssen, hängt davon ab, wie hart der Verurteilte durch die Sanktion getroffen wird. Die Praxis übt grössere Zurückhaltung, wenn ein Ausländer in der Schweiz verwurzelt ist, hier seine Familie und seine berufliche Existenz hat, als wenn er eigens zur Begehung von Delikten in die Schweiz einreist (Stratenwerth, a.a.O., § 6 N 44 f.; mit zahlreichen Hinweisen). In der Praxis sind für die Anordnung der Landesverweisung in erster Linie das Verschulden des Täters, daneben aber auch seine persönlichen Verhältnisse, namentlich die Beziehungen zur Schweiz, sowie die Sicherungsbedürfnisse massgebend (BGE 104 IV 223 E. 1b). Unabhängig vom Entscheid über die Hauptstrafe ist zu prüfen, ob für die Landesverweisung der bedingte Strafvollzug gewährt werden kann, wobei die Kriterien des Art. 41 Ziff. 1 StGB gelten (BGE 119 IV 197 E. 3b; Trechsel, a.a.O., N 5 zu Art. 55 StGB). Für Nebenstrafen ist der bedingte Strafvollzug immer möglich, auch wenn die Hauptstrafe das Höchstmass übersteigt (Trechsel, a.a.O., N 10 zu Art. 41 StGB). Ob die Landesverweisung bedingt aufgeschoben oder vollzogen werden soll, hängt einzig von der Prognose über das zukünftige Verhalten des Verurteilten in der Schweiz ab (BGE 119 IV 197 E. 3). Es ist festzuhalten, dass der künftig in Kraft zu setzende neue Allgemeine Teil des Strafgesetzbuches keine Vorwirkung entfalten kann, weshalb es zum heutigen Zeitpunkt unerheblich ist, ob in diesem die Nebenstrafe der Landesverweisung noch enthalten ist oder nicht. Zu prüfen ist nur, ob unter den heute massgeblichen gesetzlichen Bestimmungen und der entsprechenden Praxis eine Landesverweisung anzuordnen ist. Die Vorinstanz hat den Angeklagten für die maximal zulässige Dauer unbedingt des Landes verwiesen. Dies ist von Seiten des Kantonsgerichts nicht zu beanstanden. Das Mass und der unbedingte Vollzug rechtfertigen sich auf der einen Seite angesichts des sehr schweren Verschuldens des Beurteilten, insbesondere der Tatsache, dass er nebst anderen Delikten sowohl im Jahre 1999 als auch im Jahre 2001 massiv gegen das Betäubungsmittelgesetz verstossen hat, wodurch sich ein grosses Risiko weiterer Delinquenz manifestiert hat, und auf der anderen Seite aufgrund der Tatsache, dass er nur zum Zwecke der Verübung von Straftaten eingereist ist und wegen des Fehlens einer Beziehung zur Schweiz keinerlei schützenswertes privates Interesse am Verbleib geltend machen</w:t>
      </w:r>
    </w:p>
    <w:p>
      <w:r>
        <w:rPr>
          <w:b/>
        </w:rPr>
        <w:t>E. 8</w:t>
      </w:r>
    </w:p>
    <w:p>
      <w:r>
        <w:t>(…)</w:t>
      </w:r>
    </w:p>
    <w:p>
      <w:r>
        <w:rPr>
          <w:b/>
        </w:rPr>
        <w:t>E. 9</w:t>
      </w:r>
    </w:p>
    <w:p>
      <w:r>
        <w:t>(…)</w:t>
      </w:r>
    </w:p>
    <w:p>
      <w:r>
        <w:rPr>
          <w:b/>
        </w:rPr>
        <w:t>E. 10</w:t>
      </w:r>
    </w:p>
    <w:p>
      <w:r>
        <w:t>(…) KGE ZS vom 31. August 2004 i.S. E.H. (100 04 56 [A 17]/NEP)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