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U_95/2000 vom 6. Juli 2000</w:t>
      </w:r>
    </w:p>
    <w:p>
      <w:r>
        <w:t>Bundesgericht, 2000-07-06, FR</w:t>
      </w:r>
    </w:p>
    <w:p>
      <w:r>
        <w:rPr>
          <w:b/>
        </w:rPr>
        <w:t xml:space="preserve">Quelle: </w:t>
      </w:r>
      <w:r>
        <w:t>https://mcp.opencaselaw.ch/entscheid/bger_U_95_2000</w:t>
      </w:r>
    </w:p>
    <w:p>
      <w:r>
        <w:t>FR: TF U_95/2000 du 6 juillet 2000</w:t>
      </w:r>
    </w:p>
    <w:p>
      <w:r>
        <w:t>IT: TF U_95/2000 del 6 luglio 2000</w:t>
      </w:r>
    </w:p>
    <w:p>
      <w:pPr>
        <w:pStyle w:val="Heading2"/>
      </w:pPr>
      <w:r>
        <w:t>Erwägungen</w:t>
      </w:r>
    </w:p>
    <w:p>
      <w:r>
        <w:rPr>
          <w:b/>
        </w:rPr>
        <w:t>E. 1</w:t>
      </w:r>
    </w:p>
    <w:p>
      <w:r>
        <w:t>a) Aux termes de l' art. 106 al. 1, seconde phrase, LAA , le délai de recours devant le tribunal cantonal des assurances compétent est de trois mois pour les décisions sur opposition portant sur les prestations d'assurance.</w:t>
      </w:r>
    </w:p>
    <w:p>
      <w:r>
        <w:t>Selon une règle générale de procédure, le délai dont le point de départ dépend d'une communication commence à courir le lendemain de celle-ci. Lorsque le délai est exprimé en mois, il expire le jour qui correspond par son quantième à celui de la notification de la décision ou, à défaut de jour correspondant, le dernier jour du mois ( ATF 125 V 39 s. consid. 4a, 103 V 159 consid. 2a; Poudret/Sandoz-Monod, Commentaire de la loi fédérale d'organisation judiciaire, vol. I, note 2.4 ad art. 32; voir aussi Bertossa/Gaillard/Guyet, Commentaire de la loi de procédure civile genevoise, note 1 ss ad art. 29). En effet, si le délai venait à échéance le jour qui correspond par son quantième au lendemain de la notification, il se trouverait sans raison prolongé d'un jour (cf. ATF 103 V 159 s. consid. 2b).</w:t>
      </w:r>
    </w:p>
    <w:p>
      <w:r>
        <w:t>Par ailleurs, il n'y a pas de place, sur ces points, pour une éventuelle réglementation cantonale divergente, quand il s'agit de délais fixés par le droit fédéral (cf. ATF 125 V 40 consid. 4a, 123 III 69 consid. 2a).</w:t>
      </w:r>
    </w:p>
    <w:p>
      <w:r>
        <w:t>b) Il n'y a pas de motif de revenir sur cette jurisprudence, comme le demande le recourant. En particulier, celui-ci ne saurait se prévaloir du principe de la bonne foi, du moment que la jurisprudence ci-dessus exposée a fait l'objet d'arrêts publiés (en particulier : ATF 123 III 69 consid. 2a, 103 V 159 consid. 2b).</w:t>
      </w:r>
    </w:p>
    <w:p>
      <w:r>
        <w:rPr>
          <w:b/>
        </w:rPr>
        <w:t>E. 2</w:t>
      </w:r>
    </w:p>
    <w:p>
      <w:r>
        <w:t>En l'espèce, la décision sur opposition a été notifiée au mandataire de l'assuré le 21 octobre 1999. Le délai de trois mois a donc commencé à courir le lendemain, soit le 22 octobre 1999 et il est arrivé à échéance vendredi 21 janvier 2000. Le recours de l'assuré, remis à la poste le 24 janvier suivant, était donc tardif, comme l'ont admis avec raison les premiers juges.</w:t>
      </w:r>
    </w:p>
    <w:p>
      <w:r>
        <w:rPr>
          <w:b/>
        </w:rPr>
        <w:t>E. 3</w:t>
      </w:r>
    </w:p>
    <w:p>
      <w:r>
        <w:t>Vu la nature du litige, qui porte uniquement sur un point de procédure, des frais de justice doivent être mis à la charge du recourant qui succombe ( art. 134 OJ a contrario; art. 156 OJ ).</w:t>
      </w:r>
    </w:p>
    <w:p>
      <w:r>
        <w:rPr>
          <w:b/>
        </w:rPr>
        <w:t>E. 4</w:t>
      </w:r>
    </w:p>
    <w:p>
      <w:r>
        <w:t>L'assureur intimé a conclu à l'octroi de dépens. Bien qu'il obtienne gain de cause, il ne saurait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