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90/01 vom 21. Oktober 2002</w:t>
      </w:r>
    </w:p>
    <w:p>
      <w:r>
        <w:t>Bundesgericht, 2002-10-21, DE</w:t>
      </w:r>
    </w:p>
    <w:p>
      <w:r>
        <w:rPr>
          <w:b/>
        </w:rPr>
        <w:t xml:space="preserve">Quelle: </w:t>
      </w:r>
      <w:r>
        <w:t>https://mcp.opencaselaw.ch/entscheid/bger_U_90_01</w:t>
      </w:r>
    </w:p>
    <w:p>
      <w:r>
        <w:t>FR: TF U 90/01 du 21 octobre 2002</w:t>
      </w:r>
    </w:p>
    <w:p>
      <w:r>
        <w:t>IT: TF U 90/01 del 21 ottobre 2002</w:t>
      </w:r>
    </w:p>
    <w:p>
      <w:pPr>
        <w:pStyle w:val="Heading2"/>
      </w:pPr>
      <w:r>
        <w:t>Regeste</w:t>
      </w:r>
    </w:p>
    <w:p>
      <w:r>
        <w:t>Unfallversicherung</w:t>
      </w:r>
    </w:p>
    <w:p>
      <w:pPr>
        <w:pStyle w:val="Heading2"/>
      </w:pPr>
      <w:r>
        <w:t>Erwägungen</w:t>
      </w:r>
    </w:p>
    <w:p>
      <w:r>
        <w:rPr>
          <w:b/>
        </w:rPr>
        <w:t>E. 1</w:t>
      </w:r>
    </w:p>
    <w:p>
      <w:r>
        <w:t>Das kantonale Gericht hat die Bestimmungen über den Anspruch auf Heilbehandlung ( Art. 10 Abs. 1 UVG ) und auf ein Taggeld ( Art. 16 Abs. 1 UVG ) sowie über das Dahinfallen der Heilbehandlungs- und Taggeldleistungen ( Art. 19 Abs. 1 UVG ) zutreffend dargelegt. Entsprechendes gilt für die Bestimmungen und Grundsätze zum Anspruch auf eine Invalidenrente der Unfallversicherung ( Art. 18 Abs. 1 UVG ), zum Begriff der Invalidität ( Art. 18 Abs. 2 Satz 1 UVG ), zur Bemessung des Invaliditätsgrades bei erwerbstätigen Versicherten nach der allgemeinen Methode des Einkommensvergleichs ( Art. 18 Abs. 2 Satz 2 UVG ) und zum Begriff des ausgeglichenen Arbeitsmarktes ( BGE 110 V 275 Erw. 4; ZAK 1991 S. 320 f. Erw. 3b). Darauf wird verwiesen.</w:t>
      </w:r>
    </w:p>
    <w:p>
      <w:r>
        <w:rPr>
          <w:b/>
        </w:rPr>
        <w:t>E. 2.1</w:t>
      </w:r>
    </w:p>
    <w:p>
      <w:r>
        <w:t>Der Versicherte trägt vor, der Unfallversicherer habe den Versicherungsfall mit der Zusprechung der 20 %igen Invalidenrente ab 1. April 1998 verfrüht abgeschlossen, sei doch die Berentung nach Art. 19 Abs. 1 erster Satz in fine UVG erst zulässig, wenn - nebst fehlender voraussichtlicher namhafter Besserung des Gesundheitszustandes - allfällige Eingliederungsmassnahmen der Invalidenversicherung abgeschlossen seien, was hier eben nicht zutreffe. Eine Neufestlegung der Integritätsentschädigung wird letztinstanzlich nicht mehr verlangt.</w:t>
      </w:r>
    </w:p>
    <w:p>
      <w:r>
        <w:rPr>
          <w:b/>
        </w:rPr>
        <w:t>E. 2.2</w:t>
      </w:r>
    </w:p>
    <w:p>
      <w:r>
        <w:t>Es ist richtig, dass dem Beschwerdeführer mit Verfügung der IV-Stelle des Kantons Zürich vom 26. September 1997 berufliche Massnahmen für sechs Monate zugesprochen worden sind, und zwar in Form eines zweiphasigen Arbeitstrainings im Bereich Metallbearbeitung, zuerst in der Abteilung für berufliche Eingliederung der Klinik X.________, anschliessend in der Firma M.________ AG. Die erste Phase absolvierte der Versicherte vom 16. Februar bis 17. April 1998, wogegen, da die M.________ AG ihr Angebot zurückgezogen hatte, der zweite Teil des Arbeitstrainings nicht realisiert werden konnte, weshalb die IV-Stelle im Rahmen der Überwachung der beruflichen Eingliederungsmassnahmen im Bericht vom 9. Juni 1998 vorschlug, der Beschwerdeführer solle sich ab 20. April 1998 für den Bezug von Leistungen der Arbeitslosenversicherung beim zuständigen RAV melden. Falls er einen Arbeitgeber finden sollte, sei eine nochmalige Unterstützung im Sinne einer Einarbeitung (gemäss der bereits verfügten zweiten Phase) angebracht. Bezüglich der beruflichen Massnahmen hielt die IV-Stelle in einer Notiz vom 28. August 1998 fest, dass dem Versicherten die bereits erteilte Kostengutsprache für ein viermonatiges Arbeitstraining zu belassen sei; er könne diese Kostengutsprache wahrnehmen, sobald er einen entsprechenden Ausbildungsplatz gefunden habe. Sofern er sonst eine Arbeitsstelle finde, könnte auch eine Einarbeitungszeit übernommen werden. Die nochmalige Einschaltung der Berufsberatung erübrige sich, weil eine eigentliche Umschulung nicht nötig sei. Der Beschwerdeführer sei in der Lage, ohne solche eine behinderungsangepasste Tätigkeit zu verrichten, wenn er eine entsprechende Stelle finde, wobei ihm die Arbeitslosenversicherung behilflich sein werde.</w:t>
      </w:r>
    </w:p>
    <w:p>
      <w:r>
        <w:rPr>
          <w:b/>
        </w:rPr>
        <w:t>E. 2.3</w:t>
      </w:r>
    </w:p>
    <w:p>
      <w:r>
        <w:t>Bei dieser Sachlage ist es nicht zu beanstanden, dass die SUVA mit Wirkung ab 1. April 1998 den Fall abgeschlossen und den Beginn der 20 %igen Invalidenrente der Unfallversicherung auf dieses Datum angesetzt hat. Der in Art. 19 Abs. 1 erster Satz in fine UVG vorbehaltene Abschluss allfälliger Eingliederungsmassnahmen der Invalidenversicherung kann sich, soweit es um berufliche Massnahmen geht, nur auf Vorkehren beziehen, welche geeignet sind, den der Invalidenrente der Unfallversicherung zu Grunde zu legenden Invaliditätsgrad zu beeinflussen. Das trifft auf die zugesprochene, aber in der Folge aus invaliditätsfremden Gründen unterbliebene zweite Phase der beruflichen Massnahme (viermonatiges Arbeitstraining bei einem bestimmten Arbeitgeber) nicht zu. Mit der Anerkennung des Anspruchs auf eine ganze Rente der Invalidenversicherung noch bis Ende März 1998 gemäss mit heutigem Urteil des Eidgenössischen Versicherungsgerichts (I 143/01) bestätigtem Entscheid des Sozialversicherungsgericht des Kantons Zürich vom 22. Januar 2001 im invalidenversicherungsrechtlichen Parallelverfahren ist dem Beschwerdeführer eine genügend lange Zeit eingeräumt worden, in deren Verlaufe er sich von den Folgen der beiden versicherten Unfälle erholen und auf die Wiederaufnahme einer seiner verbleibenden Behinderung angepassten Erwerbstätigkeit vorbereiten konnte, wozu er auf Grund der Schadenminderungspflicht ( BGE 113 V 28 Erw. 4a mit Hinweisen) gehalten war. Demgegenüber ergeben sich aus den Akten klare Anhaltspunkte, welche auf fehlende Kooperation schliessen lassen (Anfrage der Sachbearbeiterin der IV-Stelle vom 28. April 1997 über die berufliche Abklärung vom 10. Februar bis 7. März 1997 in Y.________). Spätestens ab Anfang April 1998 war der Beschwerdeführer in der Lage, 80 % seines hypothetischen Lohnes als Hilfsheizungsmonteur durch eine der aktenmässig ausgewiesenen Tätigkeiten zu verdienen. Mit den verbleibenden Unfallfolgen, d.h. der eingeschränkten Gehfähigkeit, insbesondere auf unebenem Gelände, ist ihm die Ausübung einer vorwiegend sitzend zu verrichtenden Tätigkeit zumutbar, was eine Einkommenserzielung in der von der Vorinstanz angenommenen Höhe erlaubt. Die gegen den kantonalen Gerichtsentscheid vorgebrachten Einwände sind zu pauschal, indem sie sich auf die Behauptung beschränken, die Erzielung eines Einkommens von Fr. 3500.- pro Monat sei nicht realistisch. Damit wird die von der Unfallversicherung verfügte und vorinstanzlich bestätigte Invaliditätsbemessung, welche verglichen mit der Ermittlung des Invaliditätsgrades durch die Invalidenversicherung praktisch zum gleichen Ergebnis führt (zur Koordination der Invaliditätsbemessung durch Invaliden- und Unfallversicherung: BGE 126 V 291 f. Erw. 2a mit Hinweisen), nicht in Frage gestellt, sodass sich Weiterungen erübrigen.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