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76/00 vom 6. Juni 2000</w:t>
      </w:r>
    </w:p>
    <w:p>
      <w:r>
        <w:t>Bundesgericht, 2000-06-06, FR</w:t>
      </w:r>
    </w:p>
    <w:p>
      <w:r>
        <w:rPr>
          <w:b/>
        </w:rPr>
        <w:t xml:space="preserve">Quelle: </w:t>
      </w:r>
      <w:r>
        <w:t>https://mcp.opencaselaw.ch/entscheid/bger_U_76_00</w:t>
      </w:r>
    </w:p>
    <w:p>
      <w:r>
        <w:t>FR: TF U 76/00 du 6 juin 2000</w:t>
      </w:r>
    </w:p>
    <w:p>
      <w:r>
        <w:t>IT: TF U 76/00 del 6 giugno 2000</w:t>
      </w:r>
    </w:p>
    <w:p>
      <w:pPr>
        <w:pStyle w:val="Heading2"/>
      </w:pPr>
      <w:r>
        <w:t>Regeste</w:t>
      </w:r>
    </w:p>
    <w:p>
      <w:r>
        <w:t>Assurance-accidents</w:t>
      </w:r>
    </w:p>
    <w:p>
      <w:pPr>
        <w:pStyle w:val="Heading2"/>
      </w:pPr>
      <w:r>
        <w:t>Erwägungen</w:t>
      </w:r>
    </w:p>
    <w:p>
      <w:r>
        <w:rPr>
          <w:b/>
        </w:rPr>
        <w:t>E. 1</w:t>
      </w:r>
    </w:p>
    <w:p>
      <w:r>
        <w:t>Le litige porte sur le droit du recourant à l'allocation par l'intimée d'une rente fondée sur un taux d'invalidité de 85 %.</w:t>
      </w:r>
    </w:p>
    <w:p>
      <w:r>
        <w:rPr>
          <w:b/>
        </w:rPr>
        <w:t>E. 2</w:t>
      </w:r>
    </w:p>
    <w:p>
      <w:r>
        <w:t>a) Si le degré d'invalidité du bénéficiaire de la rente subit une modification déterminante, la rente est, pour l'avenir, augmentée ou réduite proportionnellement, ou supprimée (art. 22 al. 1, 1ère phrase, LAA). Selon la jurisprudence relative à la révision de rente dans l'assurance-invalidité ( art. 41 LAI ), applicable également dans l'assurance-accidents au sens de la LAA (RAMA 1987 no U 32 p. 446), la rente peut être révisée non seulement en cas de modification sensible de l'état de santé, mais aussi lorsque celui-ci est resté en soi le même, mais que ses conséquences sur la capacité de gain ont subi un changement important ( ATF 113 V 275 consid. 1a et les références; voir également ATF 112 V 372 consid. 2b et 390 consid. 1b). Ainsi, tout changement important des circonstances, propre à influencer le degré d'invalidité, donc le droit à la rente, peut donner lieu à une révision de celle-ci.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104 V 136 consid. 2a et 2b). Le facteur déterminant pour fixer le degré d'invalidité n'est pas l'estimation théorique de l'incapacité de travail mais bien uniquement l'incidence économique de l'atteinte à la santé (RAMA 1996, n° U 237, p. 34 consid. 3b).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 ATF 119 V 470 consid. 2b, 116 V 249 consid. 1b et les arrêts cités). L'uniformité de la notion d'invalidité doit conduire à fixer pour une même atteinte à la santé un même taux d'invalidité. L'assureur accidents ne peut donc s'écarter sans motifs suffisants du degré d'invalidité fixé par l'assurance-invalidité, aucune priorité ne pouvant être accordée à l'évaluation opérée par l'assureur accidents ( ATF 119 V 471 consid. 3; RAMA 1995, n° U 220, p. 108 in fine). b) La Cour cantonale a considéré en bref que l'état de santé de l'assuré ne s'était pas modifié dans une mesure suffisante pour augmenter son degré d'invalidité. Elle a en outre retenu que le préjudice économique qu'il subissait ne s'était pas aggravé. Le recourant fait valoir principalement que son état de santé s'est aggravé depuis le 2 novembre 1996 et que dès le 1er décembre 1997 sa capacité résiduelle de travail ne dépasse pas 30 % dans une activité légère. Il ajoute que par décision du 25 février 1999, l'Office de l'assuranceinvalidité du canton de Vaud a porté son degré d'invalidité à 85 % depuis le 1er février 1997.</w:t>
      </w:r>
    </w:p>
    <w:p>
      <w:r>
        <w:rPr>
          <w:b/>
        </w:rPr>
        <w:t>E. 3</w:t>
      </w:r>
    </w:p>
    <w:p>
      <w:r>
        <w:t>En l'espèce, on ignore sur quels éléments l'assurance-invalidité a fondé sa décision de porter le degré d'invalidité du recourant à 85 % depuis le 1er février 1997. Il n'est dès lors pas possible d'admettre sans autre examen l'évaluation du taux d'invalidité à laquelle a procédé l'assurance-invalidité après révision du droit à la rente. a) Dans son rapport du 20 janvier 1997, le docteur H.________ a constaté que les lésions dégénératives médiotarsiennes du recourant n'avaient pas progressé significativement. Il a ajouté que les plaintes de l'intéressé et son examen étaient strictement superposables à la situation présentée quatre ans auparavant. Le docteur S.________ a pleinement confirmé cette appréciation dans un rapport du 17 octobre 1997, en soulignant qu'aucun élément objectif ne permettait d'admettre une aggravation déterminante de l'état de santé de l'assuré. Il n'y a pas lieu de mettre en doute la valeur probante de ces documents médicaux qui répondent en tout point aux exigences de la jurisprudence en cette matière ( ATF 125 V 353 consid. 3a et les références). Le docteur C.________, médecin traitant de l'assuré, a certes conclu à une aggravation de l'état de santé de son patient depuis le 2 novembre 1996. Il a toutefois essentiellement fondé son opinion sur les plaintes subjectives de l'assuré. En outre, dans un rapport du 13 mars 1997 à l'attention de l'Office de l'assurance-invalidité du canton de Vaud, il a admis l'absence d'une modification nette du diagnostic orthopédique. L'opinion de ce médecin ne permet dès lors pas de remettre en cause les constatations des médecins de la CNA. Il faut par conséquent admettre que l'état de santé du recourant ne s'est pas modifié depuis l'époque où la rente initiale de 50 % lui a été accordée. b) S'agissant des conséquences de l'état de santé de l'intéressé sur sa capacité de gain, elles n'ont pas non plus subi de modification susceptible d'entraîner une augmentation de son degré d'invalidité. En effet, un changement lié aux conséquences économiques de l'invalidité consiste par exemple dans l'acquisition d'une nouvelle formation, dont la mise en valeur influe sur la capacité de gain, ou dans l'obligation d'abandonner une profession appelée à disparaître ( ATF 119 V 475 consid. 1b/aa). Or, il ne ressort pas du dossier que tel soit le cas en l'espèce. Le recourant a au contraire soutenu que sa société a bénéficié de la mauvaise conjoncture, en soulignant que les contrats d'entretien confiés à son entreprise étaient encore nombreux en 1997. Sur le vu de ce qui précède le jugement attaqué n'est pas critiquable et le recours se révèle mal fondé.</w:t>
      </w:r>
    </w:p>
    <w:p>
      <w:r>
        <w:rPr>
          <w:b/>
        </w:rPr>
        <w:t>E. 4</w:t>
      </w:r>
    </w:p>
    <w:p>
      <w:r>
        <w:t>Le recourant, qui succombe, ne saurait prétendre une indemnité de dépens pour l'instance fédérale (art. 132 en corrélation avec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