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58/01 vom 21. November 2001</w:t>
      </w:r>
    </w:p>
    <w:p>
      <w:r>
        <w:t>Bundesgericht, 2001-11-21, FR</w:t>
      </w:r>
    </w:p>
    <w:p>
      <w:r>
        <w:rPr>
          <w:b/>
        </w:rPr>
        <w:t xml:space="preserve">Quelle: </w:t>
      </w:r>
      <w:r>
        <w:t>https://mcp.opencaselaw.ch/entscheid/bger_U_58_01</w:t>
      </w:r>
    </w:p>
    <w:p>
      <w:r>
        <w:t>FR: TF U 58/01 du 21 novembre 2001</w:t>
      </w:r>
    </w:p>
    <w:p>
      <w:r>
        <w:t>IT: TF U 58/01 del 21 novembre 2001</w:t>
      </w:r>
    </w:p>
    <w:p>
      <w:pPr>
        <w:pStyle w:val="Heading2"/>
      </w:pPr>
      <w:r>
        <w:t>Regeste</w:t>
      </w:r>
    </w:p>
    <w:p>
      <w:r>
        <w:t>Assurance-accidents</w:t>
      </w:r>
    </w:p>
    <w:p>
      <w:pPr>
        <w:pStyle w:val="Heading2"/>
      </w:pPr>
      <w:r>
        <w:t>Erwägungen</w:t>
      </w:r>
    </w:p>
    <w:p>
      <w:r>
        <w:rPr>
          <w:b/>
        </w:rPr>
        <w:t>E. 1</w:t>
      </w:r>
    </w:p>
    <w:p>
      <w:r>
        <w:t>La contestation concerne la révision du droit du recourant à une rente d'invalidité fondée sur une incapacité de gain de 50 %. Le litige porte sur le point de savoir si c'est à tort que les premiers juges ont renvoyé la cause à l'intimée pour qu'elle procède à une instruction complémentaire comportant une contre-expertise et qu'elle statue à nouveau sur son droit à la rente d'invalidité. L'intimée n'a pas recouru contre le jugement attaqué. Toutefois, n'étant pas d'accord avec celui-ci, elle a pris des conclusions propres, qui se rapportent à l'objet du litige et sont dès lors recevables ( ATF 125 V 415 sv. consid. 1b et 2 et les références citées).</w:t>
      </w:r>
    </w:p>
    <w:p>
      <w:r>
        <w:rPr>
          <w:b/>
        </w:rPr>
        <w:t>E. 2</w:t>
      </w:r>
    </w:p>
    <w:p>
      <w:r>
        <w:t>a) Une décision peut être révisée en raison d'un changement des circonstances. C'est ainsi que selon l'art. 22 al. 1 première phrase LAA, si le degré d'invalidité du bénéficiaire de la rente subit une modification déterminante, la rente est, pour l'avenir, augmentée ou réduite proportionnellement, ou supprimée ( ATF 119 V 477 consid. 1a). En outre, conformément à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Enfin, par analogie avec la révision des décisions rendues par les autorités judiciaires, l'administration est tenue de procéder à la révision (procédurale) d'une décision entrée en force formelle lorsque sont découverts des faits nouveaux ou de nouveaux moyens de preuve, susceptibles de conduire à une appréciation juridique différente ( ATF 126 V 46 consid. 2b et les arrêts cités). b) La décision sur opposition du 12 mai 1999 se fonde sur l' art. 22 al. 1 LAA . Devant la juridiction cantonale, le recourant a contesté que les conditions de la révision de son droit à la rente fussent réunies, faute d'un changement important de son état de santé. En outre, il faisait valoir que les conclusions de l'expert F.________ ne constituaient pas non plus un motif valable de révision de la décision du 9 janvier 1998, entrée en force.</w:t>
      </w:r>
    </w:p>
    <w:p>
      <w:r>
        <w:rPr>
          <w:b/>
        </w:rPr>
        <w:t>E. 3</w:t>
      </w:r>
    </w:p>
    <w:p>
      <w:r>
        <w:t>Les premiers juges ont examiné si les conditions prévues à l' art. 22 al. 1 LAA étaient remplies. a) La rente n'est susceptible d'être révisée, en vertu de l' art. 22 al. 1 LAA , qu'en cas de modification notable de l'état de santé de l'assuré ou lorsque les conséquences économiques d'un état de santé demeuré inchangé se sont modifiées ( ATF 119 V 478 consid. 1b/aa et les références). Pour déterminer si l'on est en présence d'une telle modification des circonstances, il faut comparer l'état de fait tel qu'il existait à l'époque où la décision de rente a été rendue, dans l'hypothèse où celle-ci n'avait pas été attaquée, ou en cas d'opposition formée par l'assuré, au jour où l'assureur-accidents a statué sur celle-ci, avec celui qui se présentait lorsque la décision sur opposition litigieuse concernant la révision a été rendue (RAMA 1989 n° U 65 p. 70). b)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La juridiction cantonale a constaté que les conclusions de l'expert F.________ ne permettent pas encore d'établir avec certitude une amélioration de l'état de santé de nature à modifier le degré d'invalidité du recourant et les conditions de son droit à la rente. En outre, elle a relevé que l'intimée n'avait pas tenu compte des indications du docteur C.________, selon lesquelles l'évolution de l'état de santé était défavorable, vu la persistance de douleurs et d'épisodes d'épanchement (communication du 25 novembre 1997). Bien plus, dans une prise de position du 5 mai 1998, le médecin traitant avait déclaré qu'il n'était pas certain que si l'assuré, au lieu de continuer comme il le faisait d'exercer l'activité d'éducateur de rue à 50 %, travaillait exclusivement à l'intérieur, sa capacité de travail serait meilleure car les positions assises de longue durée étaient également mal tolérées. Les premiers juges ont admis, en principe, qu'un changement important de l'état de santé puisse se produire entre le 9 janvier 1998, date de la décision de rente, et le 18 septembre 1998 (recte : le 12 mai 1999), date de la décision sur opposition. Comme l'on est en présence d'avis médicaux contradictoires, et compte tenu des réserves du docteur D.________ dans son rapport du 1er avril 1996, ils ont considéré qu'il se justifiait de renvoyer la cause à l'intimée pour instruction complémentaire comportant une nouvelle expertise, ce que celle-ci conteste, de même que le recourant.</w:t>
      </w:r>
    </w:p>
    <w:p>
      <w:r>
        <w:rPr>
          <w:b/>
        </w:rPr>
        <w:t>E. 4</w:t>
      </w:r>
    </w:p>
    <w:p>
      <w:r>
        <w:t>a) Ainsi que l'a maintes fois exprimé le Tribunal fédéral des assurances,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121 V 47 consid. 2a et 208 consid. 6b; VSI 1999 consid. 4d p. 230). En droit des assurances sociales, la procédure est régie par le principe inquisitoire, selon lequel les faits pertinents de la cause doivent être constatés d'office par le tribunal, lequel apprécie librement les preuves sans être lié par des règles formelles (dans l'assurance-accidents : art. 108 al. 1 let . c LAA).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 ATF 125 V 195 consid. 2; VSI 1994, p. 220 consid. 4; comp. ATF 125 III 238 consid. 4a à propos de l' art. 274d al. 3 CO ). Car si le principe inquisitoire dispense les parties de l'obligation de prouver, il ne les libère pas du fardeau de la preuve: en cas d'absence de preuve, c'est à la partie qui voulait en déduire un droit d'en supporter les conséquences ( ATF 117 V 264 consid. 3), sauf si l'impossibilité de prouver un fait peut être imputée à l'adverse partie ( ATF 124 V 375 consid. 3; RAMA 1999 n° U 344, p. 418 consid. 3). Au demeurant, il n'existe pas, en droit des assurances sociales, un principe selon lequel l'administration ou le juge devrait statuer, dans le doute, en faveur de l'assuré (RAMA 1999 n° U 349, p. 478 consid. 2b; DTA 1998 n° 48, p. 284). b) Contrairement à ce que semble croire le recourant, on ne se trouve pas, en l'espèce, dans un cas d'absence de preuve. La question du fardeau de la preuve ne se pose donc pas. En effet, la situation actuelle se caractérise par le fait que les diagnostics des docteurs C.________ et F.________ laissent subsister des divergences, spécialement quant aux conséquences des atteintes à la santé sur la capacité résiduelle de travail du recourant. Certes, l'avis du docteur F.________, qui a effectué le 26 juin 1998 des examens complets, remplit pour l'essentiel les conditions posées par la jurisprudence sur le caractère probant d'une expertise. Il n'en demeure pas moins qu'il manque, dans son rapport du 10 juillet 1998, une détermination sur les prises de position des 25 novembre 1997 et 5 mai 1998 du docteur C.________, spécialiste comme lui en chirurgie orthopédique, au point que le juge n'est pas véritablement en mesure de trancher entre les opinions de ces deux spécialistes. Par ailleurs, dans l'expertise du 1er avril 1996, sur laquelle se fonde la décision de rente du 9 janvier 1998, le docteur D.________, également spécialiste en chirurgie orthopédique, a fait des réserves en ce qui concerne l'augmentation de la capacité résiduelle de travail à moyen terme. En effet, pour que la capacité de travail de 50 % passe à 80 %, il est nécessaire que le recourant suive un traitement physique de rééducation globale, puisque les séquelles post-traumatiques des deux genoux provoquent un déséquilibre statique dont les conséquences sont des contractures et des crampes musculaires en chaîne. Il est dès lors nécessaire, afin d'élucider la question d'un changement important des circonstances pouvant donner lieu à révision de la rente ( art. 22 al. 1 LAA ), de procéder à une instruction complémentaire sur le point de savoir si et dans quelle mesure, au moment déterminant - soit lors de la décision sur opposition du 12 mai 1999 -, le recourant subissait une diminution de sa capacité résiduelle de travail en raison des troubles imputables à l'accident du 31 octobre 1988.</w:t>
      </w:r>
    </w:p>
    <w:p>
      <w:r>
        <w:rPr>
          <w:b/>
        </w:rPr>
        <w:t>E. 5</w:t>
      </w:r>
    </w:p>
    <w:p>
      <w:r>
        <w:t>a)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b) En l'occurrence, l'instruction menée par l'intimée n'était pas lacunaire au point de justifier le renvoi du dossier à celle-ci pour qu'elle entreprenne elle-même les mesures d'instruction jugées nécessaires par l'autorité cantonale de recours. En effet, l'intimée a déjà procédé à une expertise et le renvoi de la cause pour qu'elle procède à une nouvelle expertise sur le point nécessitant une instruction complémentaire (consid. 4b du présent arrêt) apparaît disproportionné dans le cas particulier. En conséquence, le recours sera admis en ce sens que la cause doit être renvoyée à la juridiction cantonale pour que celle-ci procède elle-même à cette mesure d'instruction supplémentaire, puis rende un nouveau jugement.</w:t>
      </w:r>
    </w:p>
    <w:p>
      <w:r>
        <w:rPr>
          <w:b/>
        </w:rPr>
        <w:t>E. 6</w:t>
      </w:r>
    </w:p>
    <w:p>
      <w:r>
        <w:t>Sur le vu de l'issue du litige, le recourant a droit à une indemnité de dépens partiels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