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56/01 vom 18. Juli 2003</w:t>
      </w:r>
    </w:p>
    <w:p>
      <w:r>
        <w:t>Bundesgericht, 2003-07-18, DE</w:t>
      </w:r>
    </w:p>
    <w:p>
      <w:r>
        <w:rPr>
          <w:b/>
        </w:rPr>
        <w:t xml:space="preserve">Quelle: </w:t>
      </w:r>
      <w:r>
        <w:t>https://mcp.opencaselaw.ch/entscheid/bger_U_56_01</w:t>
      </w:r>
    </w:p>
    <w:p>
      <w:r>
        <w:t>FR: TF U 56/01 du 18 juillet 2003</w:t>
      </w:r>
    </w:p>
    <w:p>
      <w:r>
        <w:t>IT: TF U 56/01 del 18 luglio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 und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16. Dezember 1999) eingetretenen Sachverhalt abstellt ( BGE 121 V 366 Erw. 1b), sind im vorliegenden Fall die bis zum 31. Dezember 2002 geltenden Bestimmungen anwendbar.</w:t>
      </w:r>
    </w:p>
    <w:p>
      <w:r>
        <w:rPr>
          <w:b/>
        </w:rPr>
        <w:t>E. 2.1</w:t>
      </w:r>
    </w:p>
    <w:p>
      <w:r>
        <w:t>Unfall ist die plötzliche, nicht beabsichtigte schädigende Einwirkung eines ungewöhnlichen äusseren Faktors auf den menschlichen Körper, die eine Beeinträchtigung der körperlichen oder geistigen Gesundheit zur Folge hat ( Art. 2 Abs. 2 KVG ; Art. 9 Abs. 1 UVV ; BGE 122 V 232 Erw. 1 mit Hinweisen).</w:t>
      </w:r>
    </w:p>
    <w:p>
      <w:r>
        <w:rPr>
          <w:b/>
        </w:rPr>
        <w:t>E. 2.2</w:t>
      </w:r>
    </w:p>
    <w:p>
      <w:r>
        <w:t>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 BGE 122 V 233 Erw. 1, 121 V 38 Erw. 1a, je mit Hinweisen).</w:t>
      </w:r>
    </w:p>
    <w:p>
      <w:r>
        <w:rPr>
          <w:b/>
        </w:rPr>
        <w:t>E. 2.3</w:t>
      </w:r>
    </w:p>
    <w:p>
      <w:r>
        <w:t>Die Grundsätze zum Begriffsmerkmal der Ungewöhnlichkeit gelten auch, wenn zu beurteilen ist, ob ein ärztlicher Eingriff den gesetzlichen Unfallbegriff erfüllt. Die Frage, ob eine ärztliche Vorkehr als mehr oder weniger ungewöhnlicher äusserer Faktor zu betrachten sei, ist auf Grund objektiver medizinischer Kriterien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Arzt oder die Ärztin einen Kunstfehler begangen hat, der eine (zivil- oder öffentlichrechtliche) Haftung begründet. Ebenso wenig besteht eine Bindung an eine allfällige strafrechtliche Beurteilung des ärztlichen Verhaltens ( BGE 121 V 38 Erw. 1b, 118 V 284 Erw. 2b, je mit Hinweisen auf Rechtsprechung und Lehre). Soweit ersichtlich hatte das Eidgenössische Versicherungsgericht bisher die Ungewöhnlichkeit des Zurücklassens eines Gegenstandes im menschlichen Körper durch eine Ärztin oder einen Arzt nicht zu beurteilen.</w:t>
      </w:r>
    </w:p>
    <w:p>
      <w:r>
        <w:rPr>
          <w:b/>
        </w:rPr>
        <w:t>E. 3.1</w:t>
      </w:r>
    </w:p>
    <w:p>
      <w:r>
        <w:t>Es steht fest und ist unbestritten, dass Dr. med. L.________ weder nach der misslungenen Einführung noch nach der ambulanten Entfernung noch später, als die Beschwerdegegnerin sich über Schmerzen beklagte, überprüfte, ob der Blasenkatheter vollständig entfernt war. Hingegen ist bestritten und zu prüfen, ob der beschriebene Sachverhalt das Merkmal der Ungewöhnlichkeit im Sinne von Art. 9 Abs. 1 UVV erfüllt und damit als Unfall zu qualifizieren ist.</w:t>
      </w:r>
    </w:p>
    <w:p>
      <w:r>
        <w:rPr>
          <w:b/>
        </w:rPr>
        <w:t>E. 3.2</w:t>
      </w:r>
    </w:p>
    <w:p>
      <w:r>
        <w:t>Die Vorinstanz hat in sorgfältiger Würdigung der Aktenlage erwogen, dass vorliegend nicht die Schwierigkeit der ärztlichen Behandlung ausschlaggebend für die Beurteilung ist, sondern die Tatsache, dass der Arzt die nach den Regeln der ärztlichen Sorgfaltspflicht gebotene Überprüfung des Katheters auf dessen Vollständigkeit hin unterliess. Gemäss dem Bericht des Dr. med. G.________ vom 3. September 1999 muss der Arzt nach einer allgemein zu befolgenden Regel den entfernten Katheter, unabhängig davon, wo er sich im Körper befunden hat, auf dessen Vollständigkeit überprüfen, weil besonders ein intraarteriell und intravenös verbliebenes Teilstück erhebliche Folgen nach sich ziehen kann. Die SUVA führt denn auch aus, dass Ärzte und Pflegepersonen bei der Harnblasenpunktion mit einem Cystofix-Set ständig damit rechnen müssen, den Katheter beim Einlegen zu beschädigen bzw. an- oder durchzuschneiden, weshalb in zahlreichen Spitälern diesbezügliche Behandlungs- und Pflegerichtlinien gelten. Wenn der behandelnde Arzt bei der Entfernung eines wegen einer Harnverhaltung eingelegten Blasenkatheters nicht überprüft, ob er vollständig ist und dadurch ein Teilstück von erheblicher Länge (i.c. mit 19 cm fast die Hälfte der ursprünglichen Länge) im Körper des Patienten verbleibt, ist das Begriffsmerkmal der Ungewöhnlichkeit erfüllt, weil mit einem derart krassen Verstoss gegen die ärztliche Sorgfaltspflicht nicht gerechnet werden muss.</w:t>
      </w:r>
    </w:p>
    <w:p>
      <w:r>
        <w:rPr>
          <w:b/>
        </w:rPr>
        <w:t>E. 3.3</w:t>
      </w:r>
    </w:p>
    <w:p>
      <w:r>
        <w:t>Was die SUVA dagegen in der Verwaltungsgerichtsbeschwerde vorbringt, ist unbehelflich. Zunächst macht sie geltend, das Risiko einer Abtrennung eines Teils des Cystofix im Körper sei erheblich; Gegenstand der Beurteilung ist indessen nicht dieses Risiko, sondern die Frage, ob die nur teilweise Entfernung des Katheters infolge Unterlassens der Überprüfung auf Vollständigkeit vom medizinisch Üblichen ganz erheblich abweicht. Ferner übersieht die SUVA mit ihrer Einwendung, ein in der Blase verbliebener Katheter habe nicht dieselben gravierenden Auswirkungen wie z.B. ein intraarteriell oder intravenös in der Blutbahn vergessener, dass das Begriffsmerkmal der Ungewöhnlichkeit sich nicht auf die Wirkung des äusseren Faktors bezieht, sondern auf diesen selbst. Schliesslich macht die SUVA geltend, der in der Blase verbliebene Katheter habe keine Verletzung verursacht, weshalb es am Begriffsmerkmal der schädigenden Einwirkung auf den menschlichen Körper fehle. Indessen ist gemäss dem Bericht des Dr. med. E.________ vom 16. September 1997 erstellt, dass der Katheter eine (schmerzhafte) Hämaturie verursachte und deswegen eine Blasenspiegelung erforderlich war. Zusammenfassend ist festzustellen, dass das Zurücklassen einer 19 cm langen Katheterspitze in der Blase den gesetzlichen Unfallbegriff erfüllt.</w:t>
      </w:r>
    </w:p>
    <w:p>
      <w:r>
        <w:rPr>
          <w:b/>
        </w:rPr>
        <w:t>E. 4</w:t>
      </w:r>
    </w:p>
    <w:p>
      <w:r>
        <w:t>Die SUVA bringt sodann vor, entgegen der Auffassung der Vorinstanz seien weitere Abklärungen, ob ein Kausalzusammenhang zwischen dem Unvollständigen Entfernen des Blasenkatheters und den Rückenbeschwerden bestehe, nicht notwendig, weil ein solcher gestützt auf die Akten ausgeschlossen werden könne. Die Zusammenhänge zwischen der vaginalen Hysterektomie, dem Zurücklassen eines Teils des Katheters in der Blase, der Hämaturie sowie den bereits vorgängig diagnostizierten Gesundheitsschäden und der offenbar in jener Zeit eingetretenen Arbeitsunfähigkeit waren im Verwaltungsverfahren weder Gegenstand der Abklärungen noch der Beurteilung in der Verfügung und im Einspracheentscheid. Die Vorinstanz hat aus diesem Grunde die Sache an die Verwaltung zur ergänzenden Abklärung und neuen Verfügung zurückgewiesen. Um der Beschwerdegegnerin das Recht des zweifachen Instanzenzugs zu wahren, prüft das Eidgenössische Versicherungsgericht nicht, ob ein (natürlicher und adäquater) Kausalzusammenhang zwischen dem unvollständigen Entfernen des Katheters und den gesundheitlichen Beschwerden vorliegt (vgl. in SVR 2002 EL Nr. 2 S. 4 publ. Erw. 5 des Urteils BGE 127 V 244 ).</w:t>
      </w:r>
    </w:p>
    <w:p>
      <w:r>
        <w:rPr>
          <w:b/>
        </w:rPr>
        <w:t>E. 5</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