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479/00 vom 24. April 2002</w:t>
      </w:r>
    </w:p>
    <w:p>
      <w:r>
        <w:t>Bundesgericht, 2002-04-24, DE</w:t>
      </w:r>
    </w:p>
    <w:p>
      <w:r>
        <w:rPr>
          <w:b/>
        </w:rPr>
        <w:t xml:space="preserve">Quelle: </w:t>
      </w:r>
      <w:r>
        <w:t>https://mcp.opencaselaw.ch/entscheid/bger_U_479_00</w:t>
      </w:r>
    </w:p>
    <w:p>
      <w:r>
        <w:t>FR: TF U 479/00 du 24 avril 2002</w:t>
      </w:r>
    </w:p>
    <w:p>
      <w:r>
        <w:t>IT: TF U 479/00 del 24 aprile 2002</w:t>
      </w:r>
    </w:p>
    <w:p>
      <w:pPr>
        <w:pStyle w:val="Heading2"/>
      </w:pPr>
      <w:r>
        <w:t>Regeste</w:t>
      </w:r>
    </w:p>
    <w:p>
      <w:r>
        <w:t>Unfallversicherung</w:t>
      </w:r>
    </w:p>
    <w:p>
      <w:pPr>
        <w:pStyle w:val="Heading2"/>
      </w:pPr>
      <w:r>
        <w:t>Erwägungen</w:t>
      </w:r>
    </w:p>
    <w:p>
      <w:r>
        <w:rPr>
          <w:b/>
        </w:rPr>
        <w:t>E. 1</w:t>
      </w:r>
    </w:p>
    <w:p>
      <w:r>
        <w:t>Gemäss Art. 18 Abs. 1 UVV (in der Fassung vom 15. Dezember 1997, in Kraft seit 1. Januar 1998) haben Versicherte Anspruch auf ärztlich angeordnete Hauspflege, sofern diese durch eine nach den Art. 49 und 51 KVV zugelassene Person oder Organisation durchgeführt wird. Gemäss Abs. 2 dieser Bestimmung kann der Versicherer ausnahmsweise auch Beiträge an eine Hauspflege durch eine nicht zugelassene Person gewähren.</w:t>
      </w:r>
    </w:p>
    <w:p>
      <w:r>
        <w:rPr>
          <w:b/>
        </w:rPr>
        <w:t>E. 2</w:t>
      </w:r>
    </w:p>
    <w:p>
      <w:r>
        <w:t>Ob es sich bei den streitigen Leistungen um Hauspflege im Rechtssinne handelt, braucht nicht geprüft zu werden. Denn die Arbeiten erbrachte H.________, die unbestrittenermassen weder diplomierte Krankenschwester ist ( Art. 49 KVV ) noch einer Institution zur Organisation der Krankenpflege und Hilfe zu Hause ( Art. 51 KVV ) angehört, welche zur Betätigung für die Krankenversicherung zugelassen ist. Eine Anspruchsberechtigung gestützt auf Art. 18 Abs. 1 UVV scheidet schon aus diesem Grunde aus. Die geltend gemachte Forderung bleibt im Lichte des Absatzes 2 von Art. 18 UVV zu beurteilen.</w:t>
      </w:r>
    </w:p>
    <w:p>
      <w:r>
        <w:rPr>
          <w:b/>
        </w:rPr>
        <w:t>E. 3</w:t>
      </w:r>
    </w:p>
    <w:p>
      <w:r>
        <w:t>Gemäss Art. 129 Abs. 1 lit. c OG ist die Verwaltungsgerichtsbeschwerde unzulässig gegen Verfügungen über die Bewilligung oder Verweigerung vermögensrechtlicher Zuwendungen, auf die das Bundesrecht keinen Anspruch einräumt. Nach der Rechtsprechung ( BGE 116 V 50 Erw. 7c) räumt Art. 18 Abs. 2 UVV keinen bundesrechtlichen Anspruch auf Pflegebeiträge ein, der vom Eidgenössischen Versicherungsgericht überprüft werden könnte. Demnach erkennt das Eidg. Versicherungsgericht: I. Die Verwaltungsgerichtsbeschwerde wird abgewiesen, soweit auf sie eingetreten wird. II. Es werden keine Gerichtskosten erhoben. III. Dieses Urteil wird den Parteien, dem Versicherungsgericht des Kantons Aargau und dem Bundesamt für Sozialversicherung zugestellt. Luzern, 24. April 2002 Im Namen des Eidgenössischen Versicherungsgerichts Der Präsident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