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433/04 vom 26. Juli 2005</w:t>
      </w:r>
    </w:p>
    <w:p>
      <w:r>
        <w:t>Bundesgericht, 2005-07-26, DE</w:t>
      </w:r>
    </w:p>
    <w:p>
      <w:r>
        <w:rPr>
          <w:b/>
        </w:rPr>
        <w:t xml:space="preserve">Quelle: </w:t>
      </w:r>
      <w:r>
        <w:t>https://mcp.opencaselaw.ch/entscheid/bger_U_433_04</w:t>
      </w:r>
    </w:p>
    <w:p>
      <w:r>
        <w:t>FR: TF U 433/04 du 26 juillet 2005</w:t>
      </w:r>
    </w:p>
    <w:p>
      <w:r>
        <w:t>IT: TF U 433/04 del 26 luglio 2005</w:t>
      </w:r>
    </w:p>
    <w:p>
      <w:pPr>
        <w:pStyle w:val="Heading2"/>
      </w:pPr>
      <w:r>
        <w:t>Regeste</w:t>
      </w:r>
    </w:p>
    <w:p>
      <w:r>
        <w:t>Unfallversicherung | Unfallversicherung</w:t>
      </w:r>
    </w:p>
    <w:p>
      <w:pPr>
        <w:pStyle w:val="Heading2"/>
      </w:pPr>
      <w:r>
        <w:t>Erwägungen</w:t>
      </w:r>
    </w:p>
    <w:p>
      <w:r>
        <w:rPr>
          <w:b/>
        </w:rPr>
        <w:t>E. 1</w:t>
      </w:r>
    </w:p>
    <w:p>
      <w:r>
        <w:t>Die bundesrechtliche Verfügungsgrundlage (vgl. Art. 5 VwVG in Verbindung mit Art. 97 Abs. 1 und Art. 128 OG ) ist gegeben. Sodann ist der unentgeltliche Rechtsbeistand legitimiert, gegen die Festsetzung seines Honorars durch das kantonale Sozialversicherungsgericht Verwaltungsgerichtsbeschwerde zu führen ( BGE 110 V 363 Erw. 2; SVR 2002 ALV Nr. 3 S. 5 Erw. 1; Kieser, ATSG-Kommentar: Kommentar zum Bundesgesetz über den Allgemeinen Teil des Sozialversicherungsrechts vom 6. Oktober 2000, Zürich 2003, N 92 zu Art. 61). Auf die Verwaltungsgerichtsbeschwerde ist somit einzutreten.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Art. 29 Abs. 3 BV räumt jeder Person, die nicht über die erforderlichen Mittel verfügt, unter bestimmten Voraussetzungen einen Anspruch auf unentgeltliche Rechtspflege und Verbeiständung ein. Im Urteil vom 14. Oktober 2004 (Erw. 2) legte das Eidgenössische Versicherungsgericht dar, dass Art. 61 lit. f ATSG an dem bis 31. Dezember 2002 in Art. 108 Abs. 1 lit. f aUVG für den Bereich der obligatorischen Unfallversicherung gewährleisteten Recht auf unentgeltliche Verbeiständung inhaltlich nichts geändert hat und demgemäss die bisherige Rechtsprechung dazu sowie zur Bemessung der Entschädigung des unentgeltlichen Rechtsbeistandes weiterhin anwendbar ist. Darauf wird verwiesen.</w:t>
      </w:r>
    </w:p>
    <w:p>
      <w:r>
        <w:rPr>
          <w:b/>
        </w:rPr>
        <w:t>E. 3.2</w:t>
      </w:r>
    </w:p>
    <w:p>
      <w:r>
        <w:t>Die Bemessung der Entschädigung des unentgeltlichen Rechtsbeistandes ist mangels bundesrechtlicher Bestimmung dem kantonalen Recht überlassen (Kieser, a.a.O., N 92 zu Art. 61),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aufgrund ihrer Ausgestaltung oder aber aufgrund des Ergebnisses im konkreten Fall (RKUV 1993 Nr. U 172 S. 144 Erw. 4b), zu einer Verletzung von Bundesrecht geführt hat ( Art. 104 lit. a OG ). Dabei fällt praktisch nur das früher aus Art. 4 Abs. 1 aBV abgeleitete, nunmehr in Art. 9 BV verankerte Willkürverbot in Betracht ( BGE 125 V 408 Erw. 3a mit zahlreichen Hinweisen; SVR 2001 AHV Nr. 4 S. 11 Erw. 2).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X. vom 22. Juni 2000, 1P.201/2000, Erw. 2b i.f.). Willkür liegt schliesslich nur vor, wenn nicht bloss die Begründung eines Entscheides, sondern auch das Ergebnis unhaltbar ist ( BGE 129 I 9 Erw. 2.1, 58 Erw. 4, 127 I 41 Erw. 2a; zu Art. 4 Abs. 1 aBV ergangene, weiterhin geltende Rechtsprechung: BGE 125 I 168 Erw. 2a, 125 II 15 Erw. 3a, 124 I 316 Erw. 5a, 124 V 139 Erw. 2b, je mit Hinweisen).</w:t>
      </w:r>
    </w:p>
    <w:p>
      <w:r>
        <w:rPr>
          <w:b/>
        </w:rPr>
        <w:t>E. 3.3</w:t>
      </w:r>
    </w:p>
    <w:p>
      <w:r>
        <w:t>Praxisgemäss (vgl. die Zusammenfassung der Rechtsprechung in SVR 2000 IV Nr. 11 S. 31 Erw. 2b) ist dem erstinstanzlichen Richter bei der Bemessung der Entschädigung ein weiter Ermessensspielraum einzuräumen ( BGE 114 V 87 E.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 Im Rahmen seines Ermessens hat der erstinstanzliche Richter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[nachfolgend: EVG-Tarif]; SR 173.119.2). Mit Urteil W. vom 11. Juni 2001, C 130/99, hat das Eidgenössische Versicherungsgericht die relativ weite Bandbreite, innerhalb der die Entschädigung eines unentgeltlichen Rechtsbeistandes oder eine Parteientschädigung je nach der kantonalen Anwaltsgebühren-Regelung willkürfrei festgesetzt werden kann, auf Fr. 160.- bis Fr. 320.- (inkl. Mehrwertsteuer und zuzüglich seitherige Teuerung) pro Arbeitsstunde beziffert. Daran hat sich seither nichts geändert (SVR 2002 ALV Nr. 3 S. 6 Erw. 4b; in Anwaltsrevue 6/2002 S. 15 f. publiziertes Urteil H. vom 26. Oktober 2001, I 50/01; Urteile L. vom 22. September 2004, I 322/04, und A. vom 11. März 2004, U 349/03).</w:t>
      </w:r>
    </w:p>
    <w:p>
      <w:r>
        <w:rPr>
          <w:b/>
        </w:rPr>
        <w:t>E. 3.4</w:t>
      </w:r>
    </w:p>
    <w:p>
      <w:r>
        <w:t>Das noch nicht in der Amtlichen Sammlung veröffentlichte Urteil J. vom 29. März 2005, I 385/04, hat keinen Einfluss auf die eben dargelegte Praxis (Erw. 3.3 hievor) zur Bemessung der Entschädigung eines unentgeltlichen Rechtsbeistandes im kantonalen Beschwerdeverfahren. Das Eidgenössische Versicherungsgericht hat im zuletzt genannten Urteil erkannt, dass mit Art. 37 Abs. 4 ATSG auf dem Gebiet des Sozialversicherungsrechts ein bundesrechtlicher Anspruch auf einen unentgeltlichen Rechtsbeistand positivrechtlich statuiert wurde, welcher BGE 125 V 408 , soweit das sozialversicherungsrechtliche Verwaltungsverfahren betreffend, in dem Sinne entkräftet (vgl. dazu Kieser, a.a.O., N 22 zu Art. 37), als nunmehr die Höhe der Entschädigung bei unentgeltlicher Verbeiständung im Administrativverfahren (sinngemäss) nach Bundesrecht zu bestimmen ist (Urteil J. vom 29. März 2005, I 385/04, Erw. 6.1 mit Hinweis), während insbesondere für die Bemessung des Honorars des unentgeltlichen Rechtsbeistandes (vgl. Art. 61 lit. f ATSG ) im kantonalen Beschwerdeverfahren mangels bundesrechtlicher Grundlage - wie bisher (vgl. BGE 125 V 409 Erw. 3a i.f. mit Hinweis) - kantonales Recht massgebend ist (Kieser, a.a.O., N 86 und 92 zu Art. 61 mit Hinweisen). Auch unter der Herrschaft des ATSG bleiben Unterschiede zwischen der bundesrechtlich und der kantonalrechtlich geregelten Entschädigung des unentgeltlichen Rechtsvertreters zulässig, soweit Kantone für den Armenanwalt eine tiefere, den bundesrechtlichen Mindestansatz für Parteientschädigungen unterschreitende Abgeltung vorsehen dürfen ( BGE 122 I 3 Erw. 3a mit Hinweisen). Diese auf kantonaler Ebene bestehenden Unterschiede beruhen auf der verfassungsmässigen (vgl. Art. 3 BV ) Organisations- und Verfahrenshoheit der Kantone (Kölz/Häner, Verwaltungsverfahren und Verwaltungsrechtspflege des Bundes, 2. Aufl., Zürich 1998, S. 21 Rz 55 f.; vgl. auch Häfelin/Haller, Schweizerisches Bundesstaatsrecht, Die neue Bundesverfassung, 6. Aufl., Zürich 2005, S. 302 ff.). Im Rahmen der zwischen den Kantonen sowie den Kantonen und dem Bund bestehenden Unterschiede in der Bemessung des Honorars des Armenanwalts und der Parteientschädigung ist nach dem Gesagten mit Blick auf Erwägung 6.2 des Urteils J. vom 29. März 2005, I 385/04 klarzustellen, dass die Berücksichtigung der unterschiedlichen kantonalen Anwaltskostenstrukturen oder der von einander abweichenden kantonalen Anwaltsgebührenregelungen bei der Entschädigungsbemessung - auch ohne ausdrückliche Erwähnung in Art. 2 Abs. 1 Ingress Satz 1 des EVG-Tarifs - durchaus Bestandteil der bundesrechtlich eröffneten Ermessensbetätigung bildet.</w:t>
      </w:r>
    </w:p>
    <w:p>
      <w:r>
        <w:rPr>
          <w:b/>
        </w:rPr>
        <w:t>E. 4.1</w:t>
      </w:r>
    </w:p>
    <w:p>
      <w:r>
        <w:t>Gemäss § 14 des Gebührentarifs für Rechtsanwälte des Kantons Schwyz vom 27. Januar 1975 (nachfolgend: Gebührentarif; Systematische Gesetzessammlung des Kantons Schwyz [SRSZ] 280.411) beträgt das Honorar im Verfahren vor dem Verwaltungsgericht Fr. 300.- bis Fr. 7000.-. Im Rahmen dieses Mindest- und Höchstansatzes ist das Honorar nach der Wichtigkeit der Streitsache, ihrer Schwierigkeit, dem Umfang und Art der Arbeitsleistung sowie dem notwendigen Zeitaufwand zu bemessen (§ 2 Gebührentarif). Gemäss § 6 Abs. 1 Satz 1 Gebührentarif kann eine Partei eine spezifizierte Kostennote über ihre Tätigkeit und ihre Auslagen einreichen. Andernfalls wird die Vergütung nach pflichtgemässem Ermessen festgesetzt (Satz 2). Dem unentgeltlichen Rechtsvertreter werden 80 % des ordentlichen Honorars nebst Auslagen vergütet (§ 5 Gebührentarif).</w:t>
      </w:r>
    </w:p>
    <w:p>
      <w:r>
        <w:rPr>
          <w:b/>
        </w:rPr>
        <w:t>E. 4.2</w:t>
      </w:r>
    </w:p>
    <w:p>
      <w:r>
        <w:t>Der Beschwerdeführer rügt, die Vorinstanz habe sein Honorar "ohne Anhörung [...] eigenmächtig festgesetzt", indem sie ihm keine Gelegenheit gegeben habe, seinen Aufwand darzulegen und zu substanziieren. Nach Zustellung des Urteils des Eidgenössischen Versicherungsgerichts vom 14. Oktober 2004 ersuchte der Beschwerdeführer das kantonale Gericht mit Schreiben vom 4. November 2004 um "Festlegung der Parteientschädigung gemäss Erwägungen des bundesgerichtlichen Entscheides Ziff. 3.4.3". Eine spezifizierte Kostennote legte der Beschwerdeführer diesem Schreiben nicht bei. Gemäss § 6 Abs. 1 Gebührentarif ist die Einreichung einer solchen ein Parteirecht, ihre Einholung aber keine behördliche Pflicht. Wenn die Vorinstanz den Beschwerdeführer nicht unter Ansetzung einer Frist zur Einreichung einer spezifizierten Kostennote aufgefordert hat, kann deshalb von einer klaren und schweren Verletzung kantonalen Rechts keine Rede sein.</w:t>
      </w:r>
    </w:p>
    <w:p>
      <w:r>
        <w:rPr>
          <w:b/>
        </w:rPr>
        <w:t>E. 4.3</w:t>
      </w:r>
    </w:p>
    <w:p>
      <w:r>
        <w:t>Die Vorinstanz konnte dem Urteil des Eidgenössischen Versicherungsgerichts vom 14. Oktober 2004 entnehmen, dass der Beschwerdeführer einen Arbeitsaufwand von insgesamt 14,6 Stunden geltend macht. Sie hat ihn mit Rücksicht auf die grosszügige grafische Gestaltung der vorinstanzlichen Beschwerdeschrift, deren vorwiegend auf die Wiedergabe von ärztlichen Berichten beschränkten Inhaltes sowie die relativ einfachen tatsächlichen und rechtlichen Verhältnisse des konkreten Falles auf acht Stunden reduziert. Zu Recht weist das kantonale Gericht darauf hin, dass der Beschwerdeführer C.________ bereits im vorausgegangenen Einspracheverfahren vertreten hatte. Das war zudem ab März 2001 bereits im Verwaltungsverfahren der Fall, weshalb für die Ausarbeitung der gegen den Einspracheentscheid der Allianz vom 31. Juli 2003 erhobenen Beschwerde kein aufwändiges Akten- und Rechtsstudium mehr notwendig war. Es kommt hinzu, dass der Beschwerdeführer bereits im kantonalen Gerichtsverfahren Einzelheiten aus dem umfangreichen (51 Seiten umfassenden) Gutachten des Dr. phil. H.________ vom 27. August 2002 darlegte, dieses Gutachten aber der Vorinstanz in rechtsmissbräuchlicher Weise vorenthielt, wie das Eidgenössische Versicherungsgericht im Beschwerdeverfahren von C.________ mit Urteil vom 14. Oktober 2004 (Erw. 2.2.3) erkannt hat. Der mit einem rechtsmissbräuchlichen prozessualen Verhalten eines unentgeltlichen Rechtsbeistandes verbundene Prozessaufwand ist ebenso wenig entschädigungspflichtig wie unnötiger 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