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412/06 vom 26. Januar 2007</w:t>
      </w:r>
    </w:p>
    <w:p>
      <w:r>
        <w:t>Bundesgericht, 2007-01-26, DE</w:t>
      </w:r>
    </w:p>
    <w:p>
      <w:r>
        <w:rPr>
          <w:b/>
        </w:rPr>
        <w:t xml:space="preserve">Quelle: </w:t>
      </w:r>
      <w:r>
        <w:t>https://mcp.opencaselaw.ch/entscheid/bger_U_412_06</w:t>
      </w:r>
    </w:p>
    <w:p>
      <w:r>
        <w:t>FR: TF U 412/06 du 26 janvier 2007</w:t>
      </w:r>
    </w:p>
    <w:p>
      <w:r>
        <w:t>IT: TF U 412/06 del 26 gennaio 2007</w:t>
      </w:r>
    </w:p>
    <w:p>
      <w:pPr>
        <w:pStyle w:val="Heading2"/>
      </w:pPr>
      <w:r>
        <w:t>Regeste</w:t>
      </w:r>
    </w:p>
    <w:p>
      <w:r>
        <w:t>Unfallversicherung (UV) - Diktaphon/Vr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Die Beschwerdeführerinnen, deren Beschwerden vor Vorinstanz abgewiesen worden sind, sind beschwerdelegitimiert ( Art. 103 lit. a OG ). Die Frage, ob die Mobiliar vor Vorinstanz beschwerdelegitimiert war, und welche die Vorinstanz offen gelassen hat, ist im vorliegenden Verfahren nicht zu entscheiden.</w:t>
      </w:r>
    </w:p>
    <w:p>
      <w:r>
        <w:rPr>
          <w:b/>
        </w:rPr>
        <w:t>E. 3.1</w:t>
      </w:r>
    </w:p>
    <w:p>
      <w:r>
        <w:t>Die Vorinstanz hat die Bestimmungen zur Unterstellung von Betrieben unter die SUVA (Art. 66 Abs. 1 lit. e [Betriebe, die Metall, Holz, Kork, Kunststoffe, Stein oder Glas maschinell berarbeiten sowie Giessereien] und Abs. 2 lit. a-c UVG; Art. 88 UVV ; vgl. auch Art. 58 UVG ) sowie die Judikatur zu den Begriffen der gegliederten und ungegliederten Betriebe richtig wiedergegeben. Darauf wird verwiesen.</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Sinn und Zweck oder aus dem Zusammenhang mit anderen Vorschriften ergeben ( BGE 131 II 31 Erw. 7.1, 131 III 35 Erw. 2, 131 V 93 Erw. 4.1, 128 Erw. 5.1, 130 V 232 Erw. 2.2, 295 Erw. 5.3.1, 428 Erw. 3.2, 475 Erw. 6.5.1, 484 Erw. 5.2, 129 V 284 Erw. 4.2, je mit Hinweisen; Urteil S. vom 13. Juni 2006 Erw. 4.1, U 41/05).</w:t>
      </w:r>
    </w:p>
    <w:p>
      <w:r>
        <w:rPr>
          <w:b/>
        </w:rPr>
        <w:t>E. 4.1</w:t>
      </w:r>
    </w:p>
    <w:p>
      <w:r>
        <w:t>Bei der Beschwerdeführerin 1 handelt es sich um ein Optikergeschäft und daher um einen ungegliederten Betrieb gemäss Art. 66 Abs. 1 UVG und der hiezu ergangenen Rechtsprechung ( BGE 113 V 333 Erw. 5b, 348 Erw. 3b; RKUV 2005 Nr. U 534 S. 47 f. Erw. 5.1, 2004 Nr. U 498 S. 162 Erw. 4.2). In diesem Betrieb werden Sehhilfen und optische Geräte verkauft sowie Brillengläser maschinell bearbeitet. Die Unternehmung beschränkt sich auf einen einzigen zusammenhängenden Tätigkeitsbereich und weist einen einheitlichen Betriebscharakter auf. Insbesondere gehört die Verwendung von Schleifmaschinen für das Zuschleifen von Brillengläsern und Einfassungen zum üblichen Tätigkeitsbereich eines Optikergeschäftes. Diese Tätigkeit hebt sich gerade nicht eindeutig von den üblichen Arbeiten, welche in einem Optikergeschäft anfallen, ab. Unter diesen Umständen fällt der Betrieb der Beschwerdeführerin 1 unter Art. 66 Abs. 1 lit. e UVG . Ihre Arbeitnehmer sind daher obligatorisch bei der SUVA versichert.</w:t>
      </w:r>
    </w:p>
    <w:p>
      <w:r>
        <w:rPr>
          <w:b/>
        </w:rPr>
        <w:t>E. 4.2</w:t>
      </w:r>
    </w:p>
    <w:p>
      <w:r>
        <w:t>Die Beschwerdeführerinnen verlangen eine Änderung der Rechtsprechung dahingehend, dass bei der Unterstellung nicht gegliederter Betriebe, d.h. bei der Feststellung ihrer Branchenzugehörigkeit, zumindest mit Bezug auf Art. 66 Abs. 1 lit. e UVG dem Ausmass der unterstellungsrechtlich relevanten Tätigkeiten Rechnung zu tragen sei. Massgeblich sei und bleibe der Schwerpunkt der in einem Betrieb ausgeführten Tätigkeiten. Von einer solchen Praxisänderung (zu deren allgemeinen Voraussetzungen vgl. BGE 131 V 110 Erw. 3.1, 127 II 292 f. Erw. 3a, 126 I 129 Erw. 5, 125 II 162 f. Erw. 4c/aa, je mit Hinweisen) ist unter Bezugnahme auf die Ausführungen in RKUV 2004 Nr. U 498 S. 159 ff. (Urteil V. vom 16. Juli 2003, U 3/02) abzusehen. In diesem Urteil wurde Folgendes erwogen (vgl. S. 163 f. Erw. 6.1): "Wie die Vorinstanz zu Recht festgehalten hat, kommt es nur für die Beurteilung der Frage, ob eine bestimmte Tätigkeit für eine Betriebsart allgemein branchenüblich ist und somit, ob überhaupt ein ungegliederter Betrieb vorliegt, auf den überwiegenden Betriebscharakter des konkreten Unternehmens an.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 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1987 Nr. U 16 S. 243 Erw. 4c; nicht veröffentlichtes Urteil C. vom 29. Juli 1987, U 88/86)." Die geltende Praxis, welche durch zahlreiche Urteile bestätigt worden ist, widerspricht weder Wortlaut noch Sinn und Zweck von Art. 66 UVG . Entscheidende Gründe für eine Auslegung dieser Norm im Sinne der Beschwerdeführerinnen liegen nicht vor.</w:t>
      </w:r>
    </w:p>
    <w:p>
      <w:r>
        <w:rPr>
          <w:b/>
        </w:rPr>
        <w:t>E. 5</w:t>
      </w:r>
    </w:p>
    <w:p>
      <w:r>
        <w:t>Es wäre durchaus vorstellbar, Unternehmungen nur dann obligatorisch der SUVA zu unterstellen, wenn die überwiegende Anzahl der Arbeitnehmer speziellen Gefahren gemäss der Umschreibung von Art. 66 Abs. 1 UVG ausgesetzt wäre. Dies sieht indessen die genannte Bestimmung gerade nicht vor. Es läge daher am Gesetzgeber, eine derartige Änderung herbeizuführen.</w:t>
      </w:r>
    </w:p>
    <w:p>
      <w:r>
        <w:rPr>
          <w:b/>
        </w:rPr>
        <w:t>E. 6</w:t>
      </w:r>
    </w:p>
    <w:p>
      <w:r>
        <w:t>Sämtliche Einwendungen der Beschwerdeführerinnen vermögen zu keinem anderen Ergebnis zu führen. Irrelevant ist nach dem Gesagten insbesondere das Argument, die Beschwerdeführerin 1 bearbeite zur Zeit nur in geringem Umfang Brillengläser maschinell. Offen gelassen werden kann die Frage, ob die SUVA-Unterstellung nach Art. 66 Abs. 1 lit. e UVG gegen die Wirtschaftsfreiheit ( Art. 27 BV ; BGE 131 I 339 Erw. 4 mit Hinweisen) verstösst. Denn das Massgeblichkeitsgebot ( Art. 191 BV ) schliesst eine richterliche Gesetzeskorrektur bei festgestellter Verfassungswidrigkeit eines Bundesgesetzes aus und verpflichtet das Gericht, die betreffende bundesrechtliche Norm trotz Verstosses gegen übergeordnetes Verfassungsrecht anzuwenden (vgl. BGE 126 V 156 Erw. 5b, 125 V 249 Erw. 3, 492 Erw. 4c/dd am Ende mit Hinweisen; Urteil B. vom 7. Juni 2006 Erw. 6.4, U 129/05).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